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中华人民共和国人力资源和社会保障部令</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第35号</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《事业单位公开招聘违纪违规行为处理规定》已经2017年9月25日人力资源社会保障部第135次部务会审议通过，现予公布，自2018年1月1日起施行。</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 尹蔚民</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2017年10月9日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事业单位公开招聘违纪违规行为处理规定</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第一章</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总</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第二章</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应聘人员违纪违规行为处理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(一)抄袭、协助他人抄袭的;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(三)持伪造证件参加考试的;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第三章</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招聘单位和招聘工作人员违纪违规行为处理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(六)未按规定组织体检的;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(四)未执行回避制度的;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(五)其他一般违纪违规行为。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(四)监管不严，导致考场出现大面积作弊现象的;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(六)其他严重违纪违规行为。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第四章</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处理程序</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第五章</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附</w:t>
      </w:r>
      <w:r>
        <w:rPr>
          <w:rFonts w:hint="eastAsia" w:ascii="华文楷体" w:hAnsi="华文楷体" w:eastAsia="华文楷体" w:cs="华文楷体"/>
          <w:b/>
          <w:bCs/>
          <w:sz w:val="32"/>
          <w:szCs w:val="32"/>
          <w:lang w:val="en-US" w:eastAsia="zh-CN"/>
        </w:rPr>
        <w:t xml:space="preserve">  </w:t>
      </w:r>
      <w:r>
        <w:rPr>
          <w:rFonts w:hint="eastAsia" w:ascii="华文楷体" w:hAnsi="华文楷体" w:eastAsia="华文楷体" w:cs="华文楷体"/>
          <w:b/>
          <w:bCs/>
          <w:sz w:val="32"/>
          <w:szCs w:val="32"/>
        </w:rPr>
        <w:t>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第二十二条本规定自2018年1月1日起施行。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金桥简行楷">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377A9"/>
    <w:rsid w:val="7E73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2020-08-30T03:51:00Z</dcterms:created>
  <dc:creator>即将逝去的青春</dc:creator>
  <cp:lastModifiedBy>即将逝去的青春</cp:lastModifiedBy>
  <dcterms:modified xsi:type="dcterms:W3CDTF">2020-08-30T03:57:51Z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