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bidi w:val="0"/>
        <w:adjustRightInd/>
        <w:spacing w:line="560" w:lineRule="exact"/>
        <w:ind w:right="1440"/>
        <w:jc w:val="left"/>
        <w:textAlignment w:val="auto"/>
        <w:rPr>
          <w:rFonts w:hint="eastAsia"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附件1：</w:t>
      </w:r>
    </w:p>
    <w:p>
      <w:pPr>
        <w:spacing w:line="570" w:lineRule="exact"/>
        <w:jc w:val="center"/>
        <w:rPr>
          <w:rFonts w:eastAsia="方正小标宋_GBK"/>
          <w:b/>
          <w:bCs/>
          <w:kern w:val="0"/>
          <w:sz w:val="44"/>
          <w:szCs w:val="44"/>
          <w:lang w:bidi="ar"/>
        </w:rPr>
      </w:pPr>
      <w:r>
        <w:rPr>
          <w:rFonts w:eastAsia="方正小标宋_GBK"/>
          <w:b/>
          <w:bCs/>
          <w:kern w:val="0"/>
          <w:sz w:val="44"/>
          <w:szCs w:val="44"/>
          <w:lang w:bidi="ar"/>
        </w:rPr>
        <w:t>邻水县202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 w:bidi="ar"/>
        </w:rPr>
        <w:t>1</w:t>
      </w:r>
      <w:r>
        <w:rPr>
          <w:rFonts w:eastAsia="方正小标宋_GBK"/>
          <w:b/>
          <w:bCs/>
          <w:kern w:val="0"/>
          <w:sz w:val="44"/>
          <w:szCs w:val="44"/>
          <w:lang w:bidi="ar"/>
        </w:rPr>
        <w:t>年学校引进高层次人才需求信息表</w:t>
      </w:r>
    </w:p>
    <w:tbl>
      <w:tblPr>
        <w:tblStyle w:val="2"/>
        <w:tblW w:w="96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69"/>
        <w:gridCol w:w="495"/>
        <w:gridCol w:w="645"/>
        <w:gridCol w:w="570"/>
        <w:gridCol w:w="420"/>
        <w:gridCol w:w="2460"/>
        <w:gridCol w:w="675"/>
        <w:gridCol w:w="770"/>
        <w:gridCol w:w="1210"/>
        <w:gridCol w:w="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经费渠道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招聘名额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岗位其他要求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学历要求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kern w:val="0"/>
                <w:sz w:val="18"/>
                <w:szCs w:val="18"/>
                <w:lang w:bidi="ar"/>
              </w:rPr>
              <w:t>职称资格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  <w:r>
              <w:rPr>
                <w:rFonts w:eastAsia="方正仿宋_GBK"/>
                <w:b/>
                <w:sz w:val="18"/>
                <w:szCs w:val="18"/>
              </w:rPr>
              <w:t>其他要求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邻水中学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（共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个名额）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最低服务年限为5年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汉语言文字学，中国古代文学，中国现当代文学，文学阅读与文学教育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基础数学，应用数学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left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本科为数学与应用数学（师范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邻水县第二中学</w:t>
            </w:r>
          </w:p>
          <w:p>
            <w:pPr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（共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个名额）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eastAsia="zh-CN"/>
              </w:rPr>
              <w:t>高中数学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基础数学，应用数学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left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本科为数学与应用数学（师范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eastAsia="zh-CN"/>
              </w:rPr>
              <w:t>类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最低服务年限为5年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邻水县职业中学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（共</w:t>
            </w: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个名额）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  <w:t>高中语文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left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汉语言文字学，中国古代文学，中国现当代文学，文学阅读与文学教育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最低服务年限为5年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２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left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数学与应用数学，信息与计算科学，数理基础科学，计算数学及其应用软件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高级中学教师资格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left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计算机科学技术，计算机科学教育，计算机网络技术，计算机网络工程，计算机数据库，计算机管理，计算机应用计算机控制技术，智能科学与技术，软件工程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left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教师资格证不作要求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本科为师范类</w:t>
            </w:r>
            <w:r>
              <w:rPr>
                <w:rFonts w:hint="eastAsia" w:eastAsia="方正仿宋_GBK"/>
                <w:kern w:val="0"/>
                <w:sz w:val="18"/>
                <w:szCs w:val="18"/>
                <w:lang w:eastAsia="zh-CN" w:bidi="ar"/>
              </w:rPr>
              <w:t>或非师范类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邻水县教育科技和体育局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财政全额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机械与汽修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" w:leftChars="0" w:right="-57" w:rightChars="0"/>
              <w:jc w:val="center"/>
              <w:rPr>
                <w:rFonts w:hint="eastAsia"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57"/>
              <w:jc w:val="both"/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机械设计制造及其自动化，机械工程及自动化，车辆工程，机械电子工程，汽车服务工程，制造自动化与测控技术，机电技术教育，汽车维修工程教育(机械制造，人工智能或机电自动化类)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18"/>
                <w:szCs w:val="18"/>
                <w:lang w:bidi="ar"/>
              </w:rPr>
              <w:t>教师资格证不作要求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本科学历为机械或汽车类(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师范类或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非师范类)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方正仿宋_GBK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r>
        <w:rPr>
          <w:rFonts w:eastAsia="方正仿宋_GBK"/>
          <w:sz w:val="22"/>
          <w:szCs w:val="2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5737"/>
    <w:rsid w:val="639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2020-09-28T08:46:00Z</dcterms:created>
  <dc:creator>Administrator</dc:creator>
  <cp:lastModifiedBy>Administrator</cp:lastModifiedBy>
  <dcterms:modified xsi:type="dcterms:W3CDTF">2020-09-28T08:47:56Z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