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关于做好2019年</w:t>
      </w:r>
      <w:r>
        <w:rPr>
          <w:rFonts w:hint="eastAsia" w:ascii="微软雅黑" w:hAnsi="微软雅黑" w:eastAsia="微软雅黑" w:cs="微软雅黑"/>
          <w:sz w:val="44"/>
          <w:szCs w:val="44"/>
          <w:lang w:eastAsia="zh-CN"/>
        </w:rPr>
        <w:t>常宁市</w:t>
      </w:r>
      <w:r>
        <w:rPr>
          <w:rFonts w:hint="eastAsia" w:ascii="微软雅黑" w:hAnsi="微软雅黑" w:eastAsia="微软雅黑" w:cs="微软雅黑"/>
          <w:sz w:val="44"/>
          <w:szCs w:val="44"/>
        </w:rPr>
        <w:t>高中（中职）起点</w:t>
      </w:r>
    </w:p>
    <w:p>
      <w:pPr>
        <w:snapToGrid w:val="0"/>
        <w:spacing w:line="600" w:lineRule="exact"/>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本科层次农村教师公费定向培养计划</w:t>
      </w:r>
    </w:p>
    <w:p>
      <w:pPr>
        <w:snapToGrid w:val="0"/>
        <w:spacing w:line="600" w:lineRule="exact"/>
        <w:jc w:val="center"/>
        <w:rPr>
          <w:rFonts w:hint="eastAsia" w:ascii="微软雅黑" w:hAnsi="微软雅黑" w:eastAsia="微软雅黑" w:cs="微软雅黑"/>
          <w:sz w:val="44"/>
          <w:szCs w:val="44"/>
        </w:rPr>
      </w:pPr>
      <w:r>
        <w:rPr>
          <w:rFonts w:hint="eastAsia" w:ascii="微软雅黑" w:hAnsi="微软雅黑" w:eastAsia="微软雅黑" w:cs="微软雅黑"/>
          <w:spacing w:val="80"/>
          <w:sz w:val="44"/>
          <w:szCs w:val="44"/>
        </w:rPr>
        <w:t>招生工作的通</w:t>
      </w:r>
      <w:r>
        <w:rPr>
          <w:rFonts w:hint="eastAsia" w:ascii="微软雅黑" w:hAnsi="微软雅黑" w:eastAsia="微软雅黑" w:cs="微软雅黑"/>
          <w:sz w:val="44"/>
          <w:szCs w:val="44"/>
        </w:rPr>
        <w:t>知</w:t>
      </w:r>
    </w:p>
    <w:p>
      <w:pPr>
        <w:spacing w:line="600" w:lineRule="exact"/>
        <w:jc w:val="center"/>
        <w:rPr>
          <w:rFonts w:cs="Times New Roman"/>
          <w:szCs w:val="32"/>
        </w:rPr>
      </w:pPr>
    </w:p>
    <w:p>
      <w:pPr>
        <w:spacing w:line="600" w:lineRule="exact"/>
        <w:ind w:firstLine="632" w:firstLineChars="200"/>
        <w:rPr>
          <w:rFonts w:hint="eastAsia" w:cs="Times New Roman"/>
          <w:szCs w:val="32"/>
          <w:lang w:eastAsia="zh-CN"/>
        </w:rPr>
      </w:pPr>
      <w:r>
        <w:rPr>
          <w:rFonts w:hint="eastAsia" w:cs="Times New Roman"/>
          <w:szCs w:val="32"/>
          <w:lang w:eastAsia="zh-CN"/>
        </w:rPr>
        <w:t>各高中学校：</w:t>
      </w:r>
    </w:p>
    <w:p>
      <w:pPr>
        <w:spacing w:line="600" w:lineRule="exact"/>
        <w:ind w:firstLine="632" w:firstLineChars="200"/>
        <w:rPr>
          <w:rFonts w:cs="Times New Roman"/>
          <w:szCs w:val="32"/>
        </w:rPr>
      </w:pPr>
      <w:r>
        <w:rPr>
          <w:rFonts w:hint="eastAsia" w:cs="Times New Roman"/>
          <w:szCs w:val="32"/>
          <w:lang w:eastAsia="zh-CN"/>
        </w:rPr>
        <w:t>根据</w:t>
      </w:r>
      <w:r>
        <w:rPr>
          <w:rFonts w:cs="Times New Roman"/>
          <w:szCs w:val="32"/>
        </w:rPr>
        <w:t>湘教发〔2019〕21号</w:t>
      </w:r>
      <w:r>
        <w:rPr>
          <w:rFonts w:hint="eastAsia" w:cs="Times New Roman"/>
          <w:szCs w:val="32"/>
          <w:lang w:eastAsia="zh-CN"/>
        </w:rPr>
        <w:t>文件精神，</w:t>
      </w:r>
      <w:r>
        <w:rPr>
          <w:rFonts w:cs="Times New Roman"/>
          <w:szCs w:val="32"/>
        </w:rPr>
        <w:t>为</w:t>
      </w:r>
      <w:r>
        <w:rPr>
          <w:rFonts w:hint="eastAsia" w:cs="Times New Roman"/>
          <w:szCs w:val="32"/>
          <w:lang w:eastAsia="zh-CN"/>
        </w:rPr>
        <w:t>了做好我市</w:t>
      </w:r>
      <w:r>
        <w:rPr>
          <w:rFonts w:hint="eastAsia" w:cs="Times New Roman"/>
          <w:szCs w:val="32"/>
          <w:lang w:val="en-US" w:eastAsia="zh-CN"/>
        </w:rPr>
        <w:t>2019年</w:t>
      </w:r>
      <w:r>
        <w:rPr>
          <w:rFonts w:cs="Times New Roman"/>
          <w:szCs w:val="32"/>
        </w:rPr>
        <w:t>高中（中职）起点本科层次农村高中、初中和中职专业课教师公费定向培养</w:t>
      </w:r>
      <w:r>
        <w:rPr>
          <w:rFonts w:hint="eastAsia" w:cs="Times New Roman"/>
          <w:szCs w:val="32"/>
          <w:lang w:eastAsia="zh-CN"/>
        </w:rPr>
        <w:t>工作，</w:t>
      </w:r>
      <w:r>
        <w:rPr>
          <w:rFonts w:cs="Times New Roman"/>
          <w:szCs w:val="32"/>
        </w:rPr>
        <w:t>按照“自愿报名、择优录取、公费培养、定向定期服务”的原则，通过普通高考和普通高校对口招生考试进行招生。现就有关事项通知如下：</w:t>
      </w:r>
    </w:p>
    <w:p>
      <w:pPr>
        <w:keepNext w:val="0"/>
        <w:keepLines w:val="0"/>
        <w:pageBreakBefore w:val="0"/>
        <w:widowControl w:val="0"/>
        <w:kinsoku/>
        <w:wordWrap/>
        <w:overflowPunct/>
        <w:topLinePunct w:val="0"/>
        <w:autoSpaceDE/>
        <w:autoSpaceDN/>
        <w:bidi w:val="0"/>
        <w:spacing w:line="540" w:lineRule="exact"/>
        <w:ind w:left="0" w:leftChars="0" w:right="0" w:rightChars="0" w:firstLine="600"/>
        <w:jc w:val="both"/>
        <w:textAlignment w:val="auto"/>
        <w:outlineLvl w:val="9"/>
        <w:rPr>
          <w:rFonts w:hint="eastAsia" w:ascii="黑体" w:eastAsia="黑体"/>
          <w:sz w:val="30"/>
          <w:szCs w:val="30"/>
        </w:rPr>
      </w:pPr>
      <w:r>
        <w:rPr>
          <w:rFonts w:hint="eastAsia" w:ascii="黑体" w:eastAsia="黑体"/>
          <w:sz w:val="30"/>
          <w:szCs w:val="30"/>
        </w:rPr>
        <w:t>一、领导</w:t>
      </w:r>
      <w:r>
        <w:rPr>
          <w:rFonts w:hint="eastAsia" w:ascii="黑体" w:eastAsia="黑体"/>
          <w:sz w:val="30"/>
          <w:szCs w:val="30"/>
          <w:lang w:eastAsia="zh-CN"/>
        </w:rPr>
        <w:t>机构</w:t>
      </w:r>
    </w:p>
    <w:p>
      <w:pPr>
        <w:keepNext w:val="0"/>
        <w:keepLines w:val="0"/>
        <w:pageBreakBefore w:val="0"/>
        <w:widowControl w:val="0"/>
        <w:kinsoku/>
        <w:wordWrap/>
        <w:overflowPunct/>
        <w:topLinePunct w:val="0"/>
        <w:autoSpaceDE/>
        <w:autoSpaceDN/>
        <w:bidi w:val="0"/>
        <w:spacing w:line="540" w:lineRule="exact"/>
        <w:ind w:left="0" w:leftChars="0" w:right="0" w:rightChars="0" w:firstLine="600"/>
        <w:jc w:val="both"/>
        <w:textAlignment w:val="auto"/>
        <w:outlineLvl w:val="9"/>
        <w:rPr>
          <w:rFonts w:hint="eastAsia" w:ascii="仿宋_GB2312" w:eastAsia="仿宋_GB2312"/>
          <w:sz w:val="30"/>
          <w:szCs w:val="30"/>
        </w:rPr>
      </w:pPr>
      <w:r>
        <w:rPr>
          <w:rFonts w:hint="eastAsia" w:ascii="仿宋_GB2312" w:eastAsia="仿宋_GB2312"/>
          <w:sz w:val="30"/>
          <w:szCs w:val="30"/>
        </w:rPr>
        <w:t>成立</w:t>
      </w:r>
      <w:r>
        <w:rPr>
          <w:rFonts w:hint="eastAsia" w:ascii="仿宋_GB2312" w:eastAsia="仿宋_GB2312"/>
          <w:sz w:val="30"/>
          <w:szCs w:val="30"/>
          <w:lang w:eastAsia="zh-CN"/>
        </w:rPr>
        <w:t>常宁市公费师范定向培养</w:t>
      </w:r>
      <w:r>
        <w:rPr>
          <w:rFonts w:hint="eastAsia" w:ascii="仿宋_GB2312" w:eastAsia="仿宋_GB2312"/>
          <w:sz w:val="30"/>
          <w:szCs w:val="30"/>
        </w:rPr>
        <w:t>招生工作领导小组。</w:t>
      </w:r>
    </w:p>
    <w:p>
      <w:pPr>
        <w:keepNext w:val="0"/>
        <w:keepLines w:val="0"/>
        <w:pageBreakBefore w:val="0"/>
        <w:widowControl w:val="0"/>
        <w:kinsoku/>
        <w:wordWrap/>
        <w:overflowPunct/>
        <w:topLinePunct w:val="0"/>
        <w:autoSpaceDE/>
        <w:autoSpaceDN/>
        <w:bidi w:val="0"/>
        <w:spacing w:line="540" w:lineRule="exact"/>
        <w:ind w:left="0" w:leftChars="0" w:right="0" w:rightChars="0" w:firstLine="600"/>
        <w:jc w:val="both"/>
        <w:textAlignment w:val="auto"/>
        <w:outlineLvl w:val="9"/>
        <w:rPr>
          <w:rFonts w:hint="eastAsia" w:ascii="仿宋_GB2312" w:eastAsia="仿宋_GB2312"/>
          <w:sz w:val="30"/>
          <w:szCs w:val="30"/>
        </w:rPr>
      </w:pPr>
      <w:r>
        <w:rPr>
          <w:rFonts w:hint="eastAsia" w:ascii="仿宋_GB2312" w:eastAsia="仿宋_GB2312"/>
          <w:sz w:val="30"/>
          <w:szCs w:val="30"/>
        </w:rPr>
        <w:t>顾  问：</w:t>
      </w:r>
      <w:r>
        <w:rPr>
          <w:rFonts w:hint="eastAsia" w:ascii="仿宋_GB2312" w:eastAsia="仿宋_GB2312"/>
          <w:sz w:val="30"/>
          <w:szCs w:val="30"/>
          <w:lang w:eastAsia="zh-CN"/>
        </w:rPr>
        <w:t>黎才发</w:t>
      </w:r>
      <w:r>
        <w:rPr>
          <w:rFonts w:hint="eastAsia" w:ascii="仿宋_GB2312" w:eastAsia="仿宋_GB2312"/>
          <w:sz w:val="30"/>
          <w:szCs w:val="30"/>
        </w:rPr>
        <w:t xml:space="preserve"> </w:t>
      </w:r>
      <w:r>
        <w:rPr>
          <w:rFonts w:hint="eastAsia" w:ascii="仿宋_GB2312"/>
          <w:sz w:val="30"/>
          <w:szCs w:val="30"/>
          <w:lang w:val="en-US" w:eastAsia="zh-CN"/>
        </w:rPr>
        <w:t xml:space="preserve">  秦源生</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spacing w:line="540" w:lineRule="exact"/>
        <w:ind w:left="0" w:leftChars="0" w:right="0" w:rightChars="0" w:firstLine="600"/>
        <w:jc w:val="both"/>
        <w:textAlignment w:val="auto"/>
        <w:outlineLvl w:val="9"/>
        <w:rPr>
          <w:rFonts w:hint="eastAsia" w:ascii="仿宋_GB2312" w:eastAsia="仿宋_GB2312"/>
          <w:sz w:val="30"/>
          <w:szCs w:val="30"/>
        </w:rPr>
      </w:pPr>
      <w:r>
        <w:rPr>
          <w:rFonts w:hint="eastAsia" w:ascii="仿宋_GB2312" w:eastAsia="仿宋_GB2312"/>
          <w:sz w:val="30"/>
          <w:szCs w:val="30"/>
        </w:rPr>
        <w:t>组  长：</w:t>
      </w:r>
      <w:r>
        <w:rPr>
          <w:rFonts w:hint="eastAsia" w:ascii="仿宋_GB2312" w:eastAsia="仿宋_GB2312"/>
          <w:sz w:val="30"/>
          <w:szCs w:val="30"/>
          <w:lang w:eastAsia="zh-CN"/>
        </w:rPr>
        <w:t>封红伟</w:t>
      </w:r>
    </w:p>
    <w:p>
      <w:pPr>
        <w:keepNext w:val="0"/>
        <w:keepLines w:val="0"/>
        <w:pageBreakBefore w:val="0"/>
        <w:widowControl w:val="0"/>
        <w:kinsoku/>
        <w:wordWrap/>
        <w:overflowPunct/>
        <w:topLinePunct w:val="0"/>
        <w:autoSpaceDE/>
        <w:autoSpaceDN/>
        <w:bidi w:val="0"/>
        <w:spacing w:line="540" w:lineRule="exact"/>
        <w:ind w:left="0" w:leftChars="0" w:right="0" w:rightChars="0" w:firstLine="600"/>
        <w:jc w:val="both"/>
        <w:textAlignment w:val="auto"/>
        <w:outlineLvl w:val="9"/>
        <w:rPr>
          <w:rFonts w:hint="eastAsia" w:ascii="仿宋_GB2312" w:eastAsia="仿宋_GB2312"/>
          <w:sz w:val="30"/>
          <w:szCs w:val="30"/>
        </w:rPr>
      </w:pPr>
      <w:r>
        <w:rPr>
          <w:rFonts w:hint="eastAsia" w:ascii="仿宋_GB2312" w:eastAsia="仿宋_GB2312"/>
          <w:sz w:val="30"/>
          <w:szCs w:val="30"/>
        </w:rPr>
        <w:t>副组长：</w:t>
      </w:r>
      <w:r>
        <w:rPr>
          <w:rFonts w:hint="eastAsia" w:ascii="仿宋_GB2312" w:eastAsia="仿宋_GB2312"/>
          <w:sz w:val="30"/>
          <w:szCs w:val="30"/>
          <w:lang w:eastAsia="zh-CN"/>
        </w:rPr>
        <w:t>李国宝</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欧和平</w:t>
      </w:r>
      <w:r>
        <w:rPr>
          <w:rFonts w:hint="eastAsia" w:ascii="仿宋_GB2312" w:eastAsia="仿宋_GB2312"/>
          <w:sz w:val="30"/>
          <w:szCs w:val="30"/>
        </w:rPr>
        <w:t xml:space="preserve">  </w:t>
      </w:r>
      <w:r>
        <w:rPr>
          <w:rFonts w:hint="eastAsia" w:ascii="仿宋_GB2312" w:eastAsia="仿宋_GB2312"/>
          <w:sz w:val="30"/>
          <w:szCs w:val="30"/>
          <w:lang w:eastAsia="zh-CN"/>
        </w:rPr>
        <w:t>李启越</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spacing w:line="540" w:lineRule="exact"/>
        <w:ind w:left="0" w:leftChars="0" w:right="0" w:rightChars="0" w:firstLine="600"/>
        <w:jc w:val="both"/>
        <w:textAlignment w:val="auto"/>
        <w:outlineLvl w:val="9"/>
        <w:rPr>
          <w:rFonts w:hint="eastAsia" w:ascii="仿宋_GB2312" w:eastAsia="仿宋_GB2312"/>
          <w:sz w:val="30"/>
          <w:szCs w:val="30"/>
        </w:rPr>
      </w:pPr>
      <w:r>
        <w:rPr>
          <w:rFonts w:hint="eastAsia" w:ascii="仿宋_GB2312" w:eastAsia="仿宋_GB2312"/>
          <w:sz w:val="30"/>
          <w:szCs w:val="30"/>
        </w:rPr>
        <w:t>成  员：</w:t>
      </w:r>
      <w:r>
        <w:rPr>
          <w:rFonts w:hint="eastAsia" w:ascii="仿宋_GB2312" w:eastAsia="仿宋_GB2312"/>
          <w:sz w:val="30"/>
          <w:szCs w:val="30"/>
          <w:lang w:eastAsia="zh-CN"/>
        </w:rPr>
        <w:t>曾明哲</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吕诗清</w:t>
      </w:r>
      <w:r>
        <w:rPr>
          <w:rFonts w:hint="eastAsia" w:ascii="仿宋_GB2312" w:eastAsia="仿宋_GB2312"/>
          <w:sz w:val="30"/>
          <w:szCs w:val="30"/>
        </w:rPr>
        <w:t xml:space="preserve">  </w:t>
      </w:r>
      <w:r>
        <w:rPr>
          <w:rFonts w:hint="eastAsia" w:ascii="仿宋_GB2312" w:eastAsia="仿宋_GB2312"/>
          <w:sz w:val="30"/>
          <w:szCs w:val="30"/>
          <w:lang w:eastAsia="zh-CN"/>
        </w:rPr>
        <w:t>胡少青</w:t>
      </w:r>
      <w:r>
        <w:rPr>
          <w:rFonts w:hint="eastAsia" w:ascii="仿宋_GB2312" w:eastAsia="仿宋_GB2312"/>
          <w:sz w:val="30"/>
          <w:szCs w:val="30"/>
          <w:lang w:val="en-US" w:eastAsia="zh-CN"/>
        </w:rPr>
        <w:t xml:space="preserve">  </w:t>
      </w:r>
      <w:r>
        <w:rPr>
          <w:rFonts w:hint="eastAsia" w:ascii="仿宋_GB2312"/>
          <w:sz w:val="30"/>
          <w:szCs w:val="30"/>
          <w:lang w:val="en-US" w:eastAsia="zh-CN"/>
        </w:rPr>
        <w:t xml:space="preserve">阳青柏  </w:t>
      </w:r>
      <w:r>
        <w:rPr>
          <w:rFonts w:hint="eastAsia" w:ascii="仿宋_GB2312" w:eastAsia="仿宋_GB2312"/>
          <w:sz w:val="30"/>
          <w:szCs w:val="30"/>
          <w:lang w:eastAsia="zh-CN"/>
        </w:rPr>
        <w:t>徐志军</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spacing w:line="540" w:lineRule="exact"/>
        <w:ind w:left="0" w:leftChars="0" w:right="0" w:rightChars="0" w:firstLine="600"/>
        <w:jc w:val="both"/>
        <w:textAlignment w:val="auto"/>
        <w:outlineLvl w:val="9"/>
        <w:rPr>
          <w:rFonts w:hint="eastAsia" w:ascii="仿宋_GB2312" w:eastAsia="仿宋_GB2312"/>
          <w:w w:val="97"/>
          <w:sz w:val="30"/>
          <w:szCs w:val="30"/>
        </w:rPr>
      </w:pPr>
      <w:r>
        <w:rPr>
          <w:rFonts w:hint="eastAsia" w:ascii="仿宋_GB2312" w:eastAsia="仿宋_GB2312"/>
          <w:sz w:val="30"/>
          <w:szCs w:val="30"/>
        </w:rPr>
        <w:t>领导小组下设</w:t>
      </w:r>
      <w:r>
        <w:rPr>
          <w:rFonts w:hint="eastAsia" w:ascii="仿宋_GB2312" w:eastAsia="仿宋_GB2312"/>
          <w:w w:val="97"/>
          <w:sz w:val="30"/>
          <w:szCs w:val="30"/>
        </w:rPr>
        <w:t>办公室，</w:t>
      </w:r>
      <w:r>
        <w:rPr>
          <w:rFonts w:hint="eastAsia" w:ascii="仿宋_GB2312" w:eastAsia="仿宋_GB2312"/>
          <w:w w:val="97"/>
          <w:sz w:val="30"/>
          <w:szCs w:val="30"/>
          <w:lang w:eastAsia="zh-CN"/>
        </w:rPr>
        <w:t>吕诗清</w:t>
      </w:r>
      <w:r>
        <w:rPr>
          <w:rFonts w:hint="eastAsia" w:ascii="仿宋_GB2312" w:eastAsia="仿宋_GB2312"/>
          <w:w w:val="97"/>
          <w:sz w:val="30"/>
          <w:szCs w:val="30"/>
        </w:rPr>
        <w:t>兼任办公室主任负责日常工作。</w:t>
      </w:r>
    </w:p>
    <w:p>
      <w:pPr>
        <w:numPr>
          <w:ilvl w:val="0"/>
          <w:numId w:val="0"/>
        </w:numPr>
        <w:spacing w:line="560" w:lineRule="exact"/>
        <w:ind w:firstLine="632" w:firstLineChars="200"/>
        <w:rPr>
          <w:rFonts w:eastAsia="黑体" w:cs="Times New Roman"/>
          <w:szCs w:val="32"/>
        </w:rPr>
      </w:pPr>
      <w:r>
        <w:rPr>
          <w:rFonts w:hint="eastAsia" w:eastAsia="黑体" w:cs="Times New Roman"/>
          <w:szCs w:val="32"/>
          <w:lang w:eastAsia="zh-CN"/>
        </w:rPr>
        <w:t>二、</w:t>
      </w:r>
      <w:r>
        <w:rPr>
          <w:rFonts w:eastAsia="黑体" w:cs="Times New Roman"/>
          <w:szCs w:val="32"/>
        </w:rPr>
        <w:t>招生计划</w:t>
      </w:r>
      <w:r>
        <w:rPr>
          <w:rFonts w:hint="eastAsia" w:eastAsia="黑体" w:cs="Times New Roman"/>
          <w:szCs w:val="32"/>
          <w:lang w:eastAsia="zh-CN"/>
        </w:rPr>
        <w:t>（</w:t>
      </w:r>
      <w:r>
        <w:rPr>
          <w:rFonts w:hint="eastAsia" w:eastAsia="黑体" w:cs="Times New Roman"/>
          <w:szCs w:val="32"/>
          <w:lang w:val="en-US" w:eastAsia="zh-CN"/>
        </w:rPr>
        <w:t>61人</w:t>
      </w:r>
      <w:r>
        <w:rPr>
          <w:rFonts w:hint="eastAsia" w:eastAsia="黑体" w:cs="Times New Roman"/>
          <w:szCs w:val="32"/>
          <w:lang w:eastAsia="zh-CN"/>
        </w:rPr>
        <w:t>）</w:t>
      </w:r>
    </w:p>
    <w:p>
      <w:pPr>
        <w:numPr>
          <w:ilvl w:val="0"/>
          <w:numId w:val="0"/>
        </w:numPr>
        <w:spacing w:line="560" w:lineRule="exact"/>
        <w:rPr>
          <w:rFonts w:hint="eastAsia" w:ascii="仿宋" w:hAnsi="仿宋" w:eastAsia="仿宋" w:cs="仿宋"/>
          <w:sz w:val="28"/>
          <w:szCs w:val="28"/>
          <w:lang w:val="en-US" w:eastAsia="zh-CN"/>
        </w:rPr>
      </w:pPr>
      <w:r>
        <w:rPr>
          <w:rFonts w:hint="eastAsia" w:eastAsia="黑体" w:cs="Times New Roman"/>
          <w:szCs w:val="32"/>
          <w:lang w:val="en-US" w:eastAsia="zh-CN"/>
        </w:rPr>
        <w:t xml:space="preserve">    </w:t>
      </w:r>
      <w:r>
        <w:rPr>
          <w:rFonts w:hint="eastAsia" w:ascii="仿宋" w:hAnsi="仿宋" w:eastAsia="仿宋" w:cs="仿宋"/>
          <w:sz w:val="28"/>
          <w:szCs w:val="28"/>
          <w:lang w:val="en-US" w:eastAsia="zh-CN"/>
        </w:rPr>
        <w:t>高中教师30人，中职教师4人，初中教师27人（详见附件）。</w:t>
      </w:r>
    </w:p>
    <w:p>
      <w:pPr>
        <w:spacing w:line="560" w:lineRule="exact"/>
        <w:ind w:firstLine="632" w:firstLineChars="200"/>
        <w:rPr>
          <w:rFonts w:eastAsia="黑体" w:cs="Times New Roman"/>
          <w:szCs w:val="32"/>
        </w:rPr>
      </w:pPr>
      <w:r>
        <w:rPr>
          <w:rFonts w:hint="eastAsia" w:eastAsia="黑体" w:cs="Times New Roman"/>
          <w:szCs w:val="32"/>
          <w:lang w:eastAsia="zh-CN"/>
        </w:rPr>
        <w:t>三、</w:t>
      </w:r>
      <w:r>
        <w:rPr>
          <w:rFonts w:eastAsia="黑体" w:cs="Times New Roman"/>
          <w:szCs w:val="32"/>
        </w:rPr>
        <w:t>招生对象及条件</w:t>
      </w:r>
    </w:p>
    <w:p>
      <w:pPr>
        <w:spacing w:line="560" w:lineRule="exact"/>
        <w:ind w:firstLine="632" w:firstLineChars="200"/>
        <w:rPr>
          <w:rFonts w:cs="Times New Roman"/>
          <w:szCs w:val="32"/>
        </w:rPr>
      </w:pPr>
      <w:r>
        <w:rPr>
          <w:rFonts w:cs="Times New Roman"/>
          <w:szCs w:val="32"/>
        </w:rPr>
        <w:t>（一）本科层次高中、初中教师</w:t>
      </w:r>
    </w:p>
    <w:p>
      <w:pPr>
        <w:spacing w:line="560" w:lineRule="exact"/>
        <w:ind w:firstLine="632" w:firstLineChars="200"/>
        <w:rPr>
          <w:rFonts w:cs="Times New Roman"/>
          <w:szCs w:val="32"/>
        </w:rPr>
      </w:pPr>
      <w:r>
        <w:rPr>
          <w:rFonts w:cs="Times New Roman"/>
          <w:szCs w:val="32"/>
        </w:rPr>
        <w:t>1．具有</w:t>
      </w:r>
      <w:r>
        <w:rPr>
          <w:rFonts w:hint="eastAsia" w:cs="Times New Roman"/>
          <w:szCs w:val="32"/>
          <w:lang w:eastAsia="zh-CN"/>
        </w:rPr>
        <w:t>常宁</w:t>
      </w:r>
      <w:r>
        <w:rPr>
          <w:rFonts w:cs="Times New Roman"/>
          <w:szCs w:val="32"/>
        </w:rPr>
        <w:t>户籍。</w:t>
      </w:r>
    </w:p>
    <w:p>
      <w:pPr>
        <w:spacing w:line="560" w:lineRule="exact"/>
        <w:ind w:firstLine="632" w:firstLineChars="200"/>
        <w:rPr>
          <w:rFonts w:cs="Times New Roman"/>
          <w:szCs w:val="32"/>
        </w:rPr>
      </w:pPr>
      <w:r>
        <w:rPr>
          <w:rFonts w:cs="Times New Roman"/>
          <w:szCs w:val="32"/>
        </w:rPr>
        <w:t>2．年龄未满22周岁（1997年9月1日及以后出生）。</w:t>
      </w:r>
    </w:p>
    <w:p>
      <w:pPr>
        <w:spacing w:line="560" w:lineRule="exact"/>
        <w:ind w:firstLine="632" w:firstLineChars="200"/>
        <w:rPr>
          <w:rFonts w:cs="Times New Roman"/>
          <w:szCs w:val="32"/>
        </w:rPr>
      </w:pPr>
      <w:r>
        <w:rPr>
          <w:rFonts w:cs="Times New Roman"/>
          <w:szCs w:val="32"/>
        </w:rPr>
        <w:t>3．2019年湖南省普通高考成绩达到招生学校对应批次录取控制分数线（其中音乐学和美术学专业分别达到湖南省音乐类和美术类本科二批录取控制分数线）。</w:t>
      </w:r>
    </w:p>
    <w:p>
      <w:pPr>
        <w:spacing w:line="560" w:lineRule="exact"/>
        <w:ind w:firstLine="632" w:firstLineChars="200"/>
        <w:rPr>
          <w:rFonts w:cs="Times New Roman"/>
          <w:szCs w:val="32"/>
        </w:rPr>
      </w:pPr>
      <w:r>
        <w:rPr>
          <w:rFonts w:cs="Times New Roman"/>
          <w:szCs w:val="32"/>
        </w:rPr>
        <w:t>4．身体健康，体检合格。体检工作要求按《湖南省教育考试院关于做好2019年全省普通高等学校招生体检工作的通知》（湘教考普〔2019〕3号）执行。</w:t>
      </w:r>
    </w:p>
    <w:p>
      <w:pPr>
        <w:spacing w:line="560" w:lineRule="exact"/>
        <w:ind w:firstLine="632" w:firstLineChars="200"/>
        <w:rPr>
          <w:rFonts w:cs="Times New Roman"/>
          <w:szCs w:val="32"/>
        </w:rPr>
      </w:pPr>
      <w:r>
        <w:rPr>
          <w:rFonts w:cs="Times New Roman"/>
          <w:szCs w:val="32"/>
        </w:rPr>
        <w:t>5．热爱基础教育事业，自愿报考高中、初中、小学教师公费定向培养师范生（以下简称“公费定向师范生”），且保证毕业后服从有关教育行政部门的安排，在招生计划所定向的县市区的县以下农村高中、初中、小学任教，服务时间不少于6年。</w:t>
      </w:r>
    </w:p>
    <w:p>
      <w:pPr>
        <w:spacing w:line="560" w:lineRule="exact"/>
        <w:ind w:firstLine="632" w:firstLineChars="200"/>
        <w:rPr>
          <w:rFonts w:cs="Times New Roman"/>
          <w:szCs w:val="32"/>
        </w:rPr>
      </w:pPr>
      <w:r>
        <w:rPr>
          <w:rFonts w:cs="Times New Roman"/>
          <w:szCs w:val="32"/>
        </w:rPr>
        <w:t>（二）本科层次中职专业课教师</w:t>
      </w:r>
    </w:p>
    <w:p>
      <w:pPr>
        <w:spacing w:line="560" w:lineRule="exact"/>
        <w:ind w:firstLine="632" w:firstLineChars="200"/>
        <w:rPr>
          <w:rFonts w:cs="Times New Roman"/>
          <w:szCs w:val="32"/>
        </w:rPr>
      </w:pPr>
      <w:r>
        <w:rPr>
          <w:rFonts w:cs="Times New Roman"/>
          <w:szCs w:val="32"/>
        </w:rPr>
        <w:t>1．年龄未满22周岁（1997年9月1日及以后出生）。</w:t>
      </w:r>
    </w:p>
    <w:p>
      <w:pPr>
        <w:spacing w:line="560" w:lineRule="exact"/>
        <w:ind w:firstLine="632" w:firstLineChars="200"/>
        <w:rPr>
          <w:rFonts w:cs="Times New Roman"/>
          <w:szCs w:val="32"/>
        </w:rPr>
      </w:pPr>
      <w:r>
        <w:rPr>
          <w:rFonts w:cs="Times New Roman"/>
          <w:szCs w:val="32"/>
        </w:rPr>
        <w:t>2．报考普通高考招生计划的考生，2019年湖南省普通高考成绩达到招生学校对应批次录取控制分数线；报考对口招生计划的考生，2019年湖南省普通高校对口招生考试成绩达到相应专业门类本科录取控制分数线。</w:t>
      </w:r>
    </w:p>
    <w:p>
      <w:pPr>
        <w:spacing w:line="560" w:lineRule="exact"/>
        <w:ind w:firstLine="632" w:firstLineChars="200"/>
        <w:rPr>
          <w:rFonts w:cs="Times New Roman"/>
          <w:szCs w:val="32"/>
        </w:rPr>
      </w:pPr>
      <w:r>
        <w:rPr>
          <w:rFonts w:cs="Times New Roman"/>
          <w:szCs w:val="32"/>
        </w:rPr>
        <w:t>3．身体健康，体检合格。体检工作要求按《湖南省教育考试院关于做好2019年全省普通高等学校招生体检工作的通知》（湘教考普〔2019〕3号）执行。</w:t>
      </w:r>
    </w:p>
    <w:p>
      <w:pPr>
        <w:spacing w:line="560" w:lineRule="exact"/>
        <w:ind w:firstLine="632" w:firstLineChars="200"/>
        <w:rPr>
          <w:rFonts w:cs="Times New Roman"/>
          <w:szCs w:val="32"/>
        </w:rPr>
      </w:pPr>
      <w:r>
        <w:rPr>
          <w:rFonts w:cs="Times New Roman"/>
          <w:szCs w:val="32"/>
        </w:rPr>
        <w:t>4．热爱中等职业教育事业，自愿报考中职专业课教师公费定向培养师范生（以下简称“公费定向师范生”），且保证毕业后服从有关教育行政部门的安排，在招生计划所定向的县市区的县以下中等职业学校任教，服务时间不少于6年。</w:t>
      </w:r>
    </w:p>
    <w:p>
      <w:pPr>
        <w:spacing w:line="560" w:lineRule="exact"/>
        <w:ind w:firstLine="632" w:firstLineChars="200"/>
        <w:rPr>
          <w:rFonts w:eastAsia="黑体" w:cs="Times New Roman"/>
          <w:szCs w:val="32"/>
        </w:rPr>
      </w:pPr>
      <w:r>
        <w:rPr>
          <w:rFonts w:hint="eastAsia" w:eastAsia="黑体" w:cs="Times New Roman"/>
          <w:szCs w:val="32"/>
          <w:lang w:eastAsia="zh-CN"/>
        </w:rPr>
        <w:t>四</w:t>
      </w:r>
      <w:r>
        <w:rPr>
          <w:rFonts w:eastAsia="黑体" w:cs="Times New Roman"/>
          <w:szCs w:val="32"/>
        </w:rPr>
        <w:t>、招生录取程序</w:t>
      </w:r>
    </w:p>
    <w:p>
      <w:pPr>
        <w:snapToGrid w:val="0"/>
        <w:spacing w:line="560" w:lineRule="exact"/>
        <w:ind w:firstLine="632" w:firstLineChars="200"/>
        <w:rPr>
          <w:rFonts w:cs="Times New Roman"/>
          <w:szCs w:val="32"/>
        </w:rPr>
      </w:pPr>
      <w:r>
        <w:rPr>
          <w:rFonts w:cs="Times New Roman"/>
          <w:szCs w:val="32"/>
        </w:rPr>
        <w:t>（一）公布招生政策</w:t>
      </w:r>
    </w:p>
    <w:p>
      <w:pPr>
        <w:snapToGrid w:val="0"/>
        <w:spacing w:line="560" w:lineRule="exact"/>
        <w:ind w:firstLine="632" w:firstLineChars="200"/>
        <w:rPr>
          <w:rFonts w:cs="Times New Roman"/>
          <w:szCs w:val="32"/>
        </w:rPr>
      </w:pPr>
      <w:r>
        <w:rPr>
          <w:rFonts w:cs="Times New Roman"/>
          <w:szCs w:val="32"/>
        </w:rPr>
        <w:t>县市区教育（体）局、高中（中职）学校和培养学校应利用报纸、海报、广播、电视、网络等多种形式，向社会公布本文的招生政策与招生计划。高中（中职）学校还应向高三年级学生及家长进行宣传动员。</w:t>
      </w:r>
    </w:p>
    <w:p>
      <w:pPr>
        <w:spacing w:line="560" w:lineRule="exact"/>
        <w:ind w:firstLine="632" w:firstLineChars="200"/>
        <w:rPr>
          <w:rFonts w:cs="Times New Roman"/>
          <w:szCs w:val="32"/>
        </w:rPr>
      </w:pPr>
      <w:r>
        <w:rPr>
          <w:rFonts w:cs="Times New Roman"/>
          <w:szCs w:val="32"/>
        </w:rPr>
        <w:t>（二）户籍信息确认。考生根据省教育考试院的要求，在志愿填报前登陆网上志愿填报系统（www.hneao.cn/ks）确认考生户籍信息，确保网上户籍信息与考生户口薄上户籍信息一致。考生的网上户籍信息将作为报考本科层次高中、初中、小学教师的考生录取及签订有关协议书的重要依据，凡因考生户籍信息确认错误而导致考生不能正常录取及签订协议书的，其结果由考生本人负责。</w:t>
      </w:r>
    </w:p>
    <w:p>
      <w:pPr>
        <w:spacing w:line="560" w:lineRule="exact"/>
        <w:ind w:firstLine="632" w:firstLineChars="200"/>
        <w:rPr>
          <w:rFonts w:cs="Times New Roman"/>
          <w:szCs w:val="32"/>
        </w:rPr>
      </w:pPr>
      <w:r>
        <w:rPr>
          <w:rFonts w:cs="Times New Roman"/>
          <w:szCs w:val="32"/>
        </w:rPr>
        <w:t>（三）填报志愿。考生根据本文及省教育考试院公布的招生计划，在本科提前批“省内公费定向师范生”志愿栏中填报有关志愿；其中填报本科层次高中、初中、小学教师招生计划志愿的考生，应根据考生户籍所在县市区及相应招生计划对户籍的政策要求填报相应志愿，凡填报志愿中的院校或专业不符合有关户籍政策要求的，一律视为无效志愿。填报志愿（含征集志愿）的时间及要求等按省教育考试院的有关规定执行。</w:t>
      </w:r>
    </w:p>
    <w:p>
      <w:pPr>
        <w:spacing w:line="560" w:lineRule="exact"/>
        <w:ind w:firstLine="632" w:firstLineChars="200"/>
        <w:rPr>
          <w:rFonts w:cs="Times New Roman"/>
          <w:szCs w:val="32"/>
        </w:rPr>
      </w:pPr>
      <w:r>
        <w:rPr>
          <w:rFonts w:cs="Times New Roman"/>
          <w:szCs w:val="32"/>
        </w:rPr>
        <w:t>（四）投档录取。省内公费定向师范生安排在本科提前批录取。省教育考试院依据考生志愿将填报了相关志愿的考生名单提供给招生学校（生源不足的可以适当降低分数录取，但最多不超过20分），各招生学校依据有关招生政策和学校录取规则确定拟录取名单。省教育考试院按招生学校提交的拟录取名单投档。第一次投档录取结束后，如有招生学校未完成招生计划的，由省教育考试院通过网络和媒体统一向社会公布院校招生缺额，并组织未被录取的考生填报征集志愿。录取结束后，招生学校根据已录取考生的情况，填写《2019年湖南省高中（中职）起点农村教师公费定向师范生录取名单》（附件7），并将《2019年湖南省高中（中职）起点农村教师公费定向师范生录取名单》函告招生计划所定向的市州教育（体）局，市州教育（体）局再函告有关县市区教育（体）局。</w:t>
      </w:r>
    </w:p>
    <w:p>
      <w:pPr>
        <w:spacing w:line="560" w:lineRule="exact"/>
        <w:ind w:firstLine="632" w:firstLineChars="200"/>
        <w:rPr>
          <w:rFonts w:cs="Times New Roman"/>
          <w:szCs w:val="32"/>
        </w:rPr>
      </w:pPr>
      <w:r>
        <w:rPr>
          <w:rFonts w:cs="Times New Roman"/>
          <w:szCs w:val="32"/>
        </w:rPr>
        <w:t>（五）签订《湖南省农村教师公费定向培养协议书》（以下简称《协议书》）。</w:t>
      </w:r>
    </w:p>
    <w:p>
      <w:pPr>
        <w:spacing w:line="560" w:lineRule="exact"/>
        <w:ind w:firstLine="632" w:firstLineChars="200"/>
        <w:rPr>
          <w:rFonts w:cs="Times New Roman"/>
          <w:spacing w:val="-6"/>
          <w:szCs w:val="32"/>
        </w:rPr>
      </w:pPr>
      <w:r>
        <w:rPr>
          <w:rFonts w:cs="Times New Roman"/>
          <w:szCs w:val="32"/>
        </w:rPr>
        <w:t>1．签订协议书。县市区教育（体）局依据市州教育（体）局函告的《2019年湖南省高中（中职）起点农村教师公费定向师范生录取名单》，统一组织所有录取考生与本县市区人民政府签订《协议书》（一式四份）。市州教育（体）局汇总所辖县市区签订的《协议书》，于7月27日前分培养类型分招生学校分别寄送达有关招生学校。录取考生在签订《协议书》时，应携带本人户口薄供县市区教育（体）局审查考生的有关信息情况，凡经审查不符合有关招生政策的，不能签订《协议书》。县市区教育（体）局应按我厅统一发布的协议书样式分培养类型制作《协议书》；凡内容不符的，视为无效协议书，不得进入下一招生工作程序。考生在签订《协议书》时</w:t>
      </w:r>
      <w:r>
        <w:rPr>
          <w:rFonts w:cs="Times New Roman"/>
          <w:spacing w:val="-6"/>
          <w:szCs w:val="32"/>
        </w:rPr>
        <w:t>如未满18周岁，须由考生及其法定监护人共同签订《协议书》；凡非考生本人及其法定监护人签订《协议书》的，视为考生自动放弃招生录取资格，所涉及考生不得进入下一招生工作程序。考生在规定时间内未签订《协议书》的，视为考生自动放弃招生录取资格。</w:t>
      </w:r>
    </w:p>
    <w:p>
      <w:pPr>
        <w:spacing w:line="560" w:lineRule="exact"/>
        <w:ind w:firstLine="632" w:firstLineChars="200"/>
        <w:rPr>
          <w:rFonts w:cs="Times New Roman"/>
          <w:szCs w:val="32"/>
        </w:rPr>
      </w:pPr>
      <w:r>
        <w:rPr>
          <w:rFonts w:cs="Times New Roman"/>
          <w:szCs w:val="32"/>
        </w:rPr>
        <w:t>2．《协议书》签订的具体时间、地点等信息，由县级教育行政部门根据工作需要适时公布并及时通知有关考生，以便考生及时掌握相关信息。</w:t>
      </w:r>
    </w:p>
    <w:p>
      <w:pPr>
        <w:spacing w:line="560" w:lineRule="exact"/>
        <w:ind w:firstLine="632" w:firstLineChars="200"/>
        <w:rPr>
          <w:rFonts w:cs="Times New Roman"/>
          <w:szCs w:val="32"/>
        </w:rPr>
      </w:pPr>
      <w:r>
        <w:rPr>
          <w:rFonts w:cs="Times New Roman"/>
          <w:szCs w:val="32"/>
        </w:rPr>
        <w:t>（六）发放录取通知书。各招生学校于8月10日前，向已录取并签订《协议书》的考生发放录取通知书。</w:t>
      </w:r>
    </w:p>
    <w:p>
      <w:pPr>
        <w:spacing w:line="560" w:lineRule="exact"/>
        <w:ind w:firstLine="632" w:firstLineChars="200"/>
        <w:rPr>
          <w:rFonts w:cs="Times New Roman"/>
          <w:szCs w:val="32"/>
        </w:rPr>
      </w:pPr>
      <w:r>
        <w:rPr>
          <w:rFonts w:cs="Times New Roman"/>
          <w:szCs w:val="32"/>
        </w:rPr>
        <w:t>（七）入学与复查。录取考生持录取通知书到招生学校报到。新生入学后，招生学校在入学一个月内对公费定向师范生进行资格复查。复查合格者，招生学校在其《协议书》上签字、盖章，《协议书》正式生效；复查不合格者，则不能取得公费定向师范生资格，并按国家有关招生和学生管理规定处理。招生学校在《协议书》上签字、盖章后，应将《协议书》寄送达各协议方，并存入公费定向师范生新生的个人档案。招生学校汇总本校录取考生的报到情况，填写《2019年湖南省高中（中职）起点农村教师公费定向师范生录取复核名单》（附件8），于9月21日前报送省教育厅（含电子文档）。</w:t>
      </w:r>
    </w:p>
    <w:p>
      <w:pPr>
        <w:spacing w:line="560" w:lineRule="exact"/>
        <w:ind w:firstLine="632" w:firstLineChars="200"/>
        <w:rPr>
          <w:rFonts w:eastAsia="黑体" w:cs="Times New Roman"/>
          <w:szCs w:val="32"/>
        </w:rPr>
      </w:pPr>
      <w:r>
        <w:rPr>
          <w:rFonts w:hint="eastAsia" w:eastAsia="黑体" w:cs="Times New Roman"/>
          <w:szCs w:val="32"/>
          <w:lang w:eastAsia="zh-CN"/>
        </w:rPr>
        <w:t>五</w:t>
      </w:r>
      <w:r>
        <w:rPr>
          <w:rFonts w:eastAsia="黑体" w:cs="Times New Roman"/>
          <w:szCs w:val="32"/>
        </w:rPr>
        <w:t>、有关政策</w:t>
      </w:r>
    </w:p>
    <w:p>
      <w:pPr>
        <w:snapToGrid w:val="0"/>
        <w:spacing w:line="560" w:lineRule="exact"/>
        <w:ind w:firstLine="632" w:firstLineChars="200"/>
        <w:rPr>
          <w:rFonts w:cs="Times New Roman"/>
          <w:szCs w:val="32"/>
        </w:rPr>
      </w:pPr>
      <w:r>
        <w:rPr>
          <w:rFonts w:cs="Times New Roman"/>
          <w:szCs w:val="32"/>
        </w:rPr>
        <w:t>详见《2019年湖南省高中（中职）起点农村教师公费定向培养计划有关政策说明》（附件</w:t>
      </w:r>
      <w:r>
        <w:rPr>
          <w:rFonts w:hint="eastAsia" w:cs="Times New Roman"/>
          <w:szCs w:val="32"/>
          <w:lang w:val="en-US" w:eastAsia="zh-CN"/>
        </w:rPr>
        <w:t>2</w:t>
      </w:r>
      <w:r>
        <w:rPr>
          <w:rFonts w:cs="Times New Roman"/>
          <w:szCs w:val="32"/>
        </w:rPr>
        <w:t>）。</w:t>
      </w:r>
    </w:p>
    <w:p>
      <w:pPr>
        <w:numPr>
          <w:ilvl w:val="0"/>
          <w:numId w:val="0"/>
        </w:numPr>
        <w:spacing w:line="560" w:lineRule="exact"/>
        <w:ind w:firstLine="632" w:firstLineChars="200"/>
        <w:rPr>
          <w:rFonts w:eastAsia="黑体" w:cs="Times New Roman"/>
          <w:szCs w:val="32"/>
        </w:rPr>
      </w:pPr>
      <w:r>
        <w:rPr>
          <w:rFonts w:hint="eastAsia" w:eastAsia="黑体" w:cs="Times New Roman"/>
          <w:szCs w:val="32"/>
          <w:lang w:eastAsia="zh-CN"/>
        </w:rPr>
        <w:t>六、</w:t>
      </w:r>
      <w:r>
        <w:rPr>
          <w:rFonts w:eastAsia="黑体" w:cs="Times New Roman"/>
          <w:szCs w:val="32"/>
        </w:rPr>
        <w:t>工作要求</w:t>
      </w:r>
    </w:p>
    <w:p>
      <w:pPr>
        <w:numPr>
          <w:ilvl w:val="0"/>
          <w:numId w:val="0"/>
        </w:numPr>
        <w:spacing w:line="560" w:lineRule="exact"/>
        <w:ind w:firstLine="631"/>
        <w:rPr>
          <w:rFonts w:hint="eastAsia" w:ascii="仿宋" w:hAnsi="仿宋" w:eastAsia="仿宋" w:cs="仿宋"/>
          <w:szCs w:val="32"/>
          <w:lang w:val="en-US" w:eastAsia="zh-CN"/>
        </w:rPr>
      </w:pPr>
      <w:r>
        <w:rPr>
          <w:rFonts w:hint="eastAsia" w:ascii="仿宋" w:hAnsi="仿宋" w:eastAsia="仿宋" w:cs="仿宋"/>
          <w:szCs w:val="32"/>
          <w:lang w:val="en-US" w:eastAsia="zh-CN"/>
        </w:rPr>
        <w:t>1.做好招生宣传工作。各高中学校、中职学校应将今年常宁高中起点公费师范定向培养的计划书面告知考生和家长。</w:t>
      </w:r>
    </w:p>
    <w:p>
      <w:pPr>
        <w:numPr>
          <w:ilvl w:val="0"/>
          <w:numId w:val="0"/>
        </w:numPr>
        <w:spacing w:line="560" w:lineRule="exact"/>
        <w:ind w:firstLine="631"/>
        <w:rPr>
          <w:rFonts w:hint="default" w:ascii="仿宋" w:hAnsi="仿宋" w:eastAsia="仿宋" w:cs="仿宋"/>
          <w:szCs w:val="32"/>
          <w:lang w:val="en-US" w:eastAsia="zh-CN"/>
        </w:rPr>
      </w:pPr>
      <w:r>
        <w:rPr>
          <w:rFonts w:hint="eastAsia" w:ascii="仿宋" w:hAnsi="仿宋" w:eastAsia="仿宋" w:cs="仿宋"/>
          <w:szCs w:val="32"/>
          <w:lang w:val="en-US" w:eastAsia="zh-CN"/>
        </w:rPr>
        <w:t>2.做好志愿填报工作。指导考生在提前批填报志愿，确保完成招生计划。</w:t>
      </w:r>
    </w:p>
    <w:p>
      <w:pPr>
        <w:spacing w:line="560" w:lineRule="exact"/>
        <w:ind w:left="1984" w:leftChars="200" w:hanging="1352" w:hangingChars="428"/>
        <w:rPr>
          <w:rFonts w:cs="Times New Roman"/>
          <w:szCs w:val="32"/>
        </w:rPr>
      </w:pPr>
      <w:r>
        <w:rPr>
          <w:rFonts w:cs="Times New Roman"/>
          <w:szCs w:val="32"/>
        </w:rPr>
        <w:t>附件：1．2019年</w:t>
      </w:r>
      <w:r>
        <w:rPr>
          <w:rFonts w:hint="eastAsia" w:cs="Times New Roman"/>
          <w:szCs w:val="32"/>
          <w:lang w:eastAsia="zh-CN"/>
        </w:rPr>
        <w:t>常宁市</w:t>
      </w:r>
      <w:r>
        <w:rPr>
          <w:rFonts w:cs="Times New Roman"/>
          <w:szCs w:val="32"/>
        </w:rPr>
        <w:t>高中起点本科层次农村高中教师公费定向培养省级项目计划招生来源计划表</w:t>
      </w:r>
    </w:p>
    <w:p>
      <w:pPr>
        <w:spacing w:line="560" w:lineRule="exact"/>
        <w:ind w:left="2126" w:leftChars="493" w:hanging="569" w:hangingChars="180"/>
        <w:rPr>
          <w:rFonts w:cs="Times New Roman"/>
          <w:szCs w:val="32"/>
        </w:rPr>
      </w:pPr>
      <w:r>
        <w:rPr>
          <w:rFonts w:hint="eastAsia" w:cs="Times New Roman"/>
          <w:szCs w:val="32"/>
          <w:lang w:val="en-US" w:eastAsia="zh-CN"/>
        </w:rPr>
        <w:t>2</w:t>
      </w:r>
      <w:r>
        <w:rPr>
          <w:rFonts w:cs="Times New Roman"/>
          <w:szCs w:val="32"/>
        </w:rPr>
        <w:t>．2019年湖南省高中（中职）起点本科层次农村教师公费定向培养计划有关政策说明</w:t>
      </w:r>
    </w:p>
    <w:p>
      <w:pPr>
        <w:spacing w:line="560" w:lineRule="exact"/>
        <w:ind w:left="2126" w:leftChars="493" w:hanging="569" w:hangingChars="180"/>
        <w:rPr>
          <w:rFonts w:cs="Times New Roman"/>
          <w:szCs w:val="32"/>
        </w:rPr>
      </w:pPr>
    </w:p>
    <w:p>
      <w:pPr>
        <w:spacing w:line="560" w:lineRule="exact"/>
        <w:rPr>
          <w:rFonts w:cs="Times New Roman"/>
          <w:szCs w:val="32"/>
        </w:rPr>
      </w:pPr>
    </w:p>
    <w:p>
      <w:pPr>
        <w:ind w:firstLine="3685" w:firstLineChars="1166"/>
        <w:jc w:val="center"/>
        <w:rPr>
          <w:rFonts w:hint="eastAsia" w:eastAsia="仿宋_GB2312" w:cs="Times New Roman"/>
          <w:lang w:eastAsia="zh-CN"/>
        </w:rPr>
      </w:pPr>
      <w:r>
        <w:rPr>
          <w:rFonts w:hint="eastAsia" w:cs="Times New Roman"/>
          <w:lang w:eastAsia="zh-CN"/>
        </w:rPr>
        <w:t>常宁</w:t>
      </w:r>
      <w:r>
        <w:rPr>
          <w:rFonts w:cs="Times New Roman"/>
        </w:rPr>
        <w:t>省教育</w:t>
      </w:r>
      <w:r>
        <w:rPr>
          <w:rFonts w:hint="eastAsia" w:cs="Times New Roman"/>
          <w:lang w:eastAsia="zh-CN"/>
        </w:rPr>
        <w:t>局</w:t>
      </w:r>
    </w:p>
    <w:p>
      <w:pPr>
        <w:ind w:firstLine="3685" w:firstLineChars="1166"/>
        <w:jc w:val="center"/>
        <w:rPr>
          <w:rFonts w:hint="default" w:cs="Times New Roman"/>
          <w:lang w:val="en-US"/>
        </w:rPr>
        <w:sectPr>
          <w:footerReference r:id="rId3" w:type="default"/>
          <w:footerReference r:id="rId4" w:type="even"/>
          <w:pgSz w:w="11906" w:h="16838"/>
          <w:pgMar w:top="2098" w:right="1531" w:bottom="1985" w:left="1531" w:header="851" w:footer="1588" w:gutter="0"/>
          <w:cols w:space="425" w:num="1"/>
          <w:docGrid w:type="linesAndChars" w:linePitch="579" w:charSpace="-849"/>
        </w:sectPr>
      </w:pPr>
      <w:r>
        <w:rPr>
          <w:rFonts w:cs="Times New Roman"/>
        </w:rPr>
        <w:t>2019年</w:t>
      </w:r>
      <w:r>
        <w:rPr>
          <w:rFonts w:hint="eastAsia" w:cs="Times New Roman"/>
          <w:lang w:val="en-US" w:eastAsia="zh-CN"/>
        </w:rPr>
        <w:t>6</w:t>
      </w:r>
      <w:bookmarkStart w:id="0" w:name="_GoBack"/>
      <w:bookmarkEnd w:id="0"/>
      <w:r>
        <w:rPr>
          <w:rFonts w:cs="Times New Roman"/>
        </w:rPr>
        <w:t>月</w:t>
      </w:r>
      <w:r>
        <w:rPr>
          <w:rFonts w:hint="eastAsia" w:cs="Times New Roman"/>
          <w:lang w:val="en-US" w:eastAsia="zh-CN"/>
        </w:rPr>
        <w:t>19日</w:t>
      </w:r>
    </w:p>
    <w:tbl>
      <w:tblPr>
        <w:tblStyle w:val="5"/>
        <w:tblpPr w:leftFromText="180" w:rightFromText="180" w:vertAnchor="text" w:horzAnchor="page" w:tblpX="1667" w:tblpY="56"/>
        <w:tblOverlap w:val="never"/>
        <w:tblW w:w="13437" w:type="dxa"/>
        <w:tblInd w:w="0" w:type="dxa"/>
        <w:shd w:val="clear" w:color="auto" w:fill="auto"/>
        <w:tblLayout w:type="fixed"/>
        <w:tblCellMar>
          <w:top w:w="0" w:type="dxa"/>
          <w:left w:w="0" w:type="dxa"/>
          <w:bottom w:w="0" w:type="dxa"/>
          <w:right w:w="0" w:type="dxa"/>
        </w:tblCellMar>
      </w:tblPr>
      <w:tblGrid>
        <w:gridCol w:w="1422"/>
        <w:gridCol w:w="885"/>
        <w:gridCol w:w="525"/>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525"/>
      </w:tblGrid>
      <w:tr>
        <w:tblPrEx>
          <w:shd w:val="clear" w:color="auto" w:fill="auto"/>
          <w:tblLayout w:type="fixed"/>
          <w:tblCellMar>
            <w:top w:w="0" w:type="dxa"/>
            <w:left w:w="0" w:type="dxa"/>
            <w:bottom w:w="0" w:type="dxa"/>
            <w:right w:w="0" w:type="dxa"/>
          </w:tblCellMar>
        </w:tblPrEx>
        <w:trPr>
          <w:trHeight w:val="1020" w:hRule="atLeast"/>
        </w:trPr>
        <w:tc>
          <w:tcPr>
            <w:tcW w:w="13437" w:type="dxa"/>
            <w:gridSpan w:val="2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left="3840" w:hanging="3360" w:hangingChars="1200"/>
              <w:jc w:val="both"/>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28"/>
                <w:szCs w:val="28"/>
                <w:u w:val="none"/>
                <w:lang w:val="en-US" w:eastAsia="zh-CN" w:bidi="ar"/>
              </w:rPr>
              <w:t xml:space="preserve">【附件1-1】 </w:t>
            </w:r>
            <w:r>
              <w:rPr>
                <w:rFonts w:hint="eastAsia" w:ascii="黑体" w:hAnsi="宋体" w:eastAsia="黑体" w:cs="黑体"/>
                <w:i w:val="0"/>
                <w:color w:val="000000"/>
                <w:kern w:val="0"/>
                <w:sz w:val="32"/>
                <w:szCs w:val="32"/>
                <w:u w:val="none"/>
                <w:lang w:val="en-US" w:eastAsia="zh-CN" w:bidi="ar"/>
              </w:rPr>
              <w:t xml:space="preserve">  2019年常宁市高中起点本科层次农村高中教师公费定向培养</w:t>
            </w:r>
            <w:r>
              <w:rPr>
                <w:rFonts w:hint="eastAsia" w:ascii="黑体" w:hAnsi="宋体" w:eastAsia="黑体" w:cs="黑体"/>
                <w:i w:val="0"/>
                <w:color w:val="000000"/>
                <w:kern w:val="0"/>
                <w:sz w:val="32"/>
                <w:szCs w:val="32"/>
                <w:u w:val="none"/>
                <w:lang w:val="en-US" w:eastAsia="zh-CN" w:bidi="ar"/>
              </w:rPr>
              <w:br w:type="textWrapping"/>
            </w:r>
            <w:r>
              <w:rPr>
                <w:rFonts w:hint="eastAsia" w:ascii="黑体" w:hAnsi="宋体" w:eastAsia="黑体" w:cs="黑体"/>
                <w:i w:val="0"/>
                <w:color w:val="000000"/>
                <w:kern w:val="0"/>
                <w:sz w:val="32"/>
                <w:szCs w:val="32"/>
                <w:u w:val="none"/>
                <w:lang w:val="en-US" w:eastAsia="zh-CN" w:bidi="ar"/>
              </w:rPr>
              <w:t>省级项目计划招生来源计划表</w:t>
            </w:r>
          </w:p>
        </w:tc>
      </w:tr>
      <w:tr>
        <w:tblPrEx>
          <w:tblLayout w:type="fixed"/>
          <w:tblCellMar>
            <w:top w:w="0" w:type="dxa"/>
            <w:left w:w="0" w:type="dxa"/>
            <w:bottom w:w="0" w:type="dxa"/>
            <w:right w:w="0" w:type="dxa"/>
          </w:tblCellMar>
        </w:tblPrEx>
        <w:trPr>
          <w:trHeight w:val="615"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类目</w:t>
            </w:r>
          </w:p>
        </w:tc>
        <w:tc>
          <w:tcPr>
            <w:tcW w:w="10605" w:type="dxa"/>
            <w:gridSpan w:val="2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高中课程名称、招生专业与招生计划数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960"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高中课程名称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物理</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生物</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思想政治</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美术</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体育与健康</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信息技术</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信息技术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946"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招生专业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汉语言文学</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数学与应用数学</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物理学</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生物科学</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思想政治教育</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历史学</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地理科学</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音乐学</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美术学</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体育教育</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计算机科学与技术</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教育技术学</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11"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80"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常宁市</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16"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湖南师范大学</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99"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湖南科技大学</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湖南工业大学</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tbl>
      <w:tblPr>
        <w:tblStyle w:val="5"/>
        <w:tblW w:w="12525" w:type="dxa"/>
        <w:tblInd w:w="0" w:type="dxa"/>
        <w:shd w:val="clear" w:color="auto" w:fill="auto"/>
        <w:tblLayout w:type="fixed"/>
        <w:tblCellMar>
          <w:top w:w="0" w:type="dxa"/>
          <w:left w:w="0" w:type="dxa"/>
          <w:bottom w:w="0" w:type="dxa"/>
          <w:right w:w="0" w:type="dxa"/>
        </w:tblCellMar>
      </w:tblPr>
      <w:tblGrid>
        <w:gridCol w:w="994"/>
        <w:gridCol w:w="450"/>
        <w:gridCol w:w="437"/>
        <w:gridCol w:w="262"/>
        <w:gridCol w:w="243"/>
        <w:gridCol w:w="399"/>
        <w:gridCol w:w="382"/>
        <w:gridCol w:w="29"/>
        <w:gridCol w:w="353"/>
        <w:gridCol w:w="450"/>
        <w:gridCol w:w="163"/>
        <w:gridCol w:w="125"/>
        <w:gridCol w:w="427"/>
        <w:gridCol w:w="427"/>
        <w:gridCol w:w="427"/>
        <w:gridCol w:w="427"/>
        <w:gridCol w:w="407"/>
        <w:gridCol w:w="45"/>
        <w:gridCol w:w="452"/>
        <w:gridCol w:w="407"/>
        <w:gridCol w:w="206"/>
        <w:gridCol w:w="191"/>
        <w:gridCol w:w="382"/>
        <w:gridCol w:w="191"/>
        <w:gridCol w:w="191"/>
        <w:gridCol w:w="382"/>
        <w:gridCol w:w="366"/>
        <w:gridCol w:w="16"/>
        <w:gridCol w:w="382"/>
        <w:gridCol w:w="382"/>
        <w:gridCol w:w="382"/>
        <w:gridCol w:w="38"/>
        <w:gridCol w:w="344"/>
        <w:gridCol w:w="414"/>
        <w:gridCol w:w="191"/>
        <w:gridCol w:w="191"/>
        <w:gridCol w:w="382"/>
        <w:gridCol w:w="382"/>
        <w:gridCol w:w="103"/>
        <w:gridCol w:w="103"/>
      </w:tblGrid>
      <w:tr>
        <w:tblPrEx>
          <w:shd w:val="clear" w:color="auto" w:fill="auto"/>
          <w:tblLayout w:type="fixed"/>
          <w:tblCellMar>
            <w:top w:w="0" w:type="dxa"/>
            <w:left w:w="0" w:type="dxa"/>
            <w:bottom w:w="0" w:type="dxa"/>
            <w:right w:w="0" w:type="dxa"/>
          </w:tblCellMar>
        </w:tblPrEx>
        <w:trPr>
          <w:trHeight w:val="1140" w:hRule="atLeast"/>
        </w:trPr>
        <w:tc>
          <w:tcPr>
            <w:tcW w:w="12525" w:type="dxa"/>
            <w:gridSpan w:val="4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left="4800" w:hanging="4200" w:hangingChars="1500"/>
              <w:jc w:val="both"/>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28"/>
                <w:szCs w:val="28"/>
                <w:u w:val="none"/>
                <w:lang w:val="en-US" w:eastAsia="zh-CN" w:bidi="ar"/>
              </w:rPr>
              <w:t>【附件1-2】</w:t>
            </w:r>
            <w:r>
              <w:rPr>
                <w:rFonts w:hint="eastAsia" w:ascii="黑体" w:hAnsi="宋体" w:eastAsia="黑体" w:cs="黑体"/>
                <w:i w:val="0"/>
                <w:color w:val="000000"/>
                <w:kern w:val="0"/>
                <w:sz w:val="32"/>
                <w:szCs w:val="32"/>
                <w:u w:val="none"/>
                <w:lang w:val="en-US" w:eastAsia="zh-CN" w:bidi="ar"/>
              </w:rPr>
              <w:t xml:space="preserve">  2019年常宁市高中起点本科层次农村初中教师公费定向培养</w:t>
            </w:r>
            <w:r>
              <w:rPr>
                <w:rFonts w:hint="eastAsia" w:ascii="黑体" w:hAnsi="宋体" w:eastAsia="黑体" w:cs="黑体"/>
                <w:i w:val="0"/>
                <w:color w:val="000000"/>
                <w:kern w:val="0"/>
                <w:sz w:val="32"/>
                <w:szCs w:val="32"/>
                <w:u w:val="none"/>
                <w:lang w:val="en-US" w:eastAsia="zh-CN" w:bidi="ar"/>
              </w:rPr>
              <w:br w:type="textWrapping"/>
            </w:r>
            <w:r>
              <w:rPr>
                <w:rFonts w:hint="eastAsia" w:ascii="黑体" w:hAnsi="宋体" w:eastAsia="黑体" w:cs="黑体"/>
                <w:i w:val="0"/>
                <w:color w:val="000000"/>
                <w:kern w:val="0"/>
                <w:sz w:val="32"/>
                <w:szCs w:val="32"/>
                <w:u w:val="none"/>
                <w:lang w:val="en-US" w:eastAsia="zh-CN" w:bidi="ar"/>
              </w:rPr>
              <w:t>省级项目计划招生来源计划表</w:t>
            </w:r>
          </w:p>
        </w:tc>
      </w:tr>
      <w:tr>
        <w:tblPrEx>
          <w:tblLayout w:type="fixed"/>
          <w:tblCellMar>
            <w:top w:w="0" w:type="dxa"/>
            <w:left w:w="0" w:type="dxa"/>
            <w:bottom w:w="0" w:type="dxa"/>
            <w:right w:w="0" w:type="dxa"/>
          </w:tblCellMar>
        </w:tblPrEx>
        <w:trPr>
          <w:trHeight w:val="700" w:hRule="atLeast"/>
        </w:trPr>
        <w:tc>
          <w:tcPr>
            <w:tcW w:w="14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县市区</w:t>
            </w:r>
          </w:p>
        </w:tc>
        <w:tc>
          <w:tcPr>
            <w:tcW w:w="10875" w:type="dxa"/>
            <w:gridSpan w:val="3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招生专业与招生计划数</w:t>
            </w:r>
          </w:p>
        </w:tc>
        <w:tc>
          <w:tcPr>
            <w:tcW w:w="2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2171" w:hRule="atLeast"/>
        </w:trPr>
        <w:tc>
          <w:tcPr>
            <w:tcW w:w="14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汉语言文学</w:t>
            </w:r>
          </w:p>
        </w:tc>
        <w:tc>
          <w:tcPr>
            <w:tcW w:w="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数学与应用数学</w:t>
            </w:r>
          </w:p>
        </w:tc>
        <w:tc>
          <w:tcPr>
            <w:tcW w:w="121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w:t>
            </w:r>
          </w:p>
        </w:tc>
        <w:tc>
          <w:tcPr>
            <w:tcW w:w="2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物理学</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生物科学</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思想政治教育</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历史学</w:t>
            </w:r>
          </w:p>
        </w:tc>
        <w:tc>
          <w:tcPr>
            <w:tcW w:w="131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地理科学</w:t>
            </w:r>
          </w:p>
        </w:tc>
        <w:tc>
          <w:tcPr>
            <w:tcW w:w="116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音乐学</w:t>
            </w: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体育教育</w:t>
            </w: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美术学</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计算机科学与技术</w:t>
            </w: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应用心理学</w:t>
            </w:r>
          </w:p>
        </w:tc>
        <w:tc>
          <w:tcPr>
            <w:tcW w:w="2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00" w:hRule="atLeast"/>
        </w:trPr>
        <w:tc>
          <w:tcPr>
            <w:tcW w:w="14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2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3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文科</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理科</w:t>
            </w:r>
          </w:p>
        </w:tc>
        <w:tc>
          <w:tcPr>
            <w:tcW w:w="2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00" w:hRule="atLeast"/>
        </w:trPr>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常宁市</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27</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2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衡阳师范学院</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11" w:hRule="atLeast"/>
        </w:trPr>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湖南文理学院</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00" w:hRule="atLeast"/>
        </w:trPr>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怀化学院</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00" w:hRule="atLeast"/>
        </w:trPr>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邵阳学院</w:t>
            </w:r>
          </w:p>
        </w:tc>
        <w:tc>
          <w:tcPr>
            <w:tcW w:w="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103" w:type="dxa"/>
          <w:trHeight w:val="1020" w:hRule="atLeast"/>
        </w:trPr>
        <w:tc>
          <w:tcPr>
            <w:tcW w:w="12422"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left="3200" w:hanging="2400" w:hangingChars="1000"/>
              <w:jc w:val="both"/>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24"/>
                <w:szCs w:val="24"/>
                <w:u w:val="none"/>
                <w:lang w:val="en-US" w:eastAsia="zh-CN" w:bidi="ar"/>
              </w:rPr>
              <w:t xml:space="preserve">【附件1-3】 </w:t>
            </w:r>
            <w:r>
              <w:rPr>
                <w:rFonts w:hint="eastAsia" w:ascii="黑体" w:hAnsi="宋体" w:eastAsia="黑体" w:cs="黑体"/>
                <w:i w:val="0"/>
                <w:color w:val="000000"/>
                <w:kern w:val="0"/>
                <w:sz w:val="32"/>
                <w:szCs w:val="32"/>
                <w:u w:val="none"/>
                <w:lang w:val="en-US" w:eastAsia="zh-CN" w:bidi="ar"/>
              </w:rPr>
              <w:t xml:space="preserve">  2019年常宁市高中（中职）起点本科层次农村中职专业课教师</w:t>
            </w:r>
            <w:r>
              <w:rPr>
                <w:rFonts w:hint="eastAsia" w:ascii="黑体" w:hAnsi="宋体" w:eastAsia="黑体" w:cs="黑体"/>
                <w:i w:val="0"/>
                <w:color w:val="000000"/>
                <w:kern w:val="0"/>
                <w:sz w:val="32"/>
                <w:szCs w:val="32"/>
                <w:u w:val="none"/>
                <w:lang w:val="en-US" w:eastAsia="zh-CN" w:bidi="ar"/>
              </w:rPr>
              <w:br w:type="textWrapping"/>
            </w:r>
            <w:r>
              <w:rPr>
                <w:rFonts w:hint="eastAsia" w:ascii="黑体" w:hAnsi="宋体" w:eastAsia="黑体" w:cs="黑体"/>
                <w:i w:val="0"/>
                <w:color w:val="000000"/>
                <w:kern w:val="0"/>
                <w:sz w:val="32"/>
                <w:szCs w:val="32"/>
                <w:u w:val="none"/>
                <w:lang w:val="en-US" w:eastAsia="zh-CN" w:bidi="ar"/>
              </w:rPr>
              <w:t>公费定向培养省级项目计划招生来源计划表</w:t>
            </w:r>
          </w:p>
        </w:tc>
      </w:tr>
      <w:tr>
        <w:tblPrEx>
          <w:tblLayout w:type="fixed"/>
          <w:tblCellMar>
            <w:top w:w="0" w:type="dxa"/>
            <w:left w:w="0" w:type="dxa"/>
            <w:bottom w:w="0" w:type="dxa"/>
            <w:right w:w="0" w:type="dxa"/>
          </w:tblCellMar>
        </w:tblPrEx>
        <w:trPr>
          <w:gridAfter w:val="1"/>
          <w:wAfter w:w="103" w:type="dxa"/>
          <w:trHeight w:val="453" w:hRule="atLeast"/>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县市区</w:t>
            </w:r>
          </w:p>
        </w:tc>
        <w:tc>
          <w:tcPr>
            <w:tcW w:w="114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0"/>
                <w:lang w:val="en-US" w:eastAsia="zh-CN" w:bidi="ar"/>
              </w:rPr>
              <w:t>类　　目</w:t>
            </w:r>
          </w:p>
        </w:tc>
        <w:tc>
          <w:tcPr>
            <w:tcW w:w="9221" w:type="dxa"/>
            <w:gridSpan w:val="3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招生学校、招生专业与招生计划数</w:t>
            </w:r>
          </w:p>
        </w:tc>
        <w:tc>
          <w:tcPr>
            <w:tcW w:w="105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gridAfter w:val="1"/>
          <w:wAfter w:w="103" w:type="dxa"/>
          <w:trHeight w:val="40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招生学校</w:t>
            </w:r>
          </w:p>
        </w:tc>
        <w:tc>
          <w:tcPr>
            <w:tcW w:w="105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招　生计划数合　计</w:t>
            </w:r>
          </w:p>
        </w:tc>
        <w:tc>
          <w:tcPr>
            <w:tcW w:w="3206"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普通高考招生计划（理工类）</w:t>
            </w:r>
          </w:p>
        </w:tc>
        <w:tc>
          <w:tcPr>
            <w:tcW w:w="4962" w:type="dxa"/>
            <w:gridSpan w:val="1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对口招生计划</w:t>
            </w:r>
          </w:p>
        </w:tc>
        <w:tc>
          <w:tcPr>
            <w:tcW w:w="105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03" w:type="dxa"/>
          <w:trHeight w:val="713"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湖南师范大学</w:t>
            </w:r>
          </w:p>
        </w:tc>
        <w:tc>
          <w:tcPr>
            <w:tcW w:w="97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湖南科技大学</w:t>
            </w:r>
          </w:p>
        </w:tc>
        <w:tc>
          <w:tcPr>
            <w:tcW w:w="12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湖南科技大学</w:t>
            </w:r>
          </w:p>
        </w:tc>
        <w:tc>
          <w:tcPr>
            <w:tcW w:w="11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湖南师范大学</w:t>
            </w:r>
          </w:p>
        </w:tc>
        <w:tc>
          <w:tcPr>
            <w:tcW w:w="7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湖南师范大学</w:t>
            </w:r>
          </w:p>
        </w:tc>
        <w:tc>
          <w:tcPr>
            <w:tcW w:w="9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10"/>
                <w:sz w:val="15"/>
                <w:szCs w:val="15"/>
                <w:lang w:val="en-US" w:eastAsia="zh-CN" w:bidi="ar"/>
              </w:rPr>
              <w:t>湖南师范大学</w:t>
            </w:r>
          </w:p>
        </w:tc>
        <w:tc>
          <w:tcPr>
            <w:tcW w:w="12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湖南农业大学</w:t>
            </w:r>
          </w:p>
        </w:tc>
        <w:tc>
          <w:tcPr>
            <w:tcW w:w="9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湖南农业大学</w:t>
            </w:r>
          </w:p>
        </w:tc>
        <w:tc>
          <w:tcPr>
            <w:tcW w:w="105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03" w:type="dxa"/>
          <w:trHeight w:val="62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招生专业</w:t>
            </w:r>
          </w:p>
        </w:tc>
        <w:tc>
          <w:tcPr>
            <w:tcW w:w="10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6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10"/>
                <w:sz w:val="15"/>
                <w:szCs w:val="15"/>
                <w:lang w:val="en-US" w:eastAsia="zh-CN" w:bidi="ar"/>
              </w:rPr>
              <w:t>应用电子技术教育（电子技术应用方向）</w:t>
            </w:r>
          </w:p>
        </w:tc>
        <w:tc>
          <w:tcPr>
            <w:tcW w:w="97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机械设计制造及其自动化</w:t>
            </w:r>
          </w:p>
        </w:tc>
        <w:tc>
          <w:tcPr>
            <w:tcW w:w="12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材料成型与控制工程</w:t>
            </w:r>
          </w:p>
        </w:tc>
        <w:tc>
          <w:tcPr>
            <w:tcW w:w="111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机械工艺技术</w:t>
            </w:r>
          </w:p>
        </w:tc>
        <w:tc>
          <w:tcPr>
            <w:tcW w:w="76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应用电子技术教育(电子电器应用与维修方向)</w:t>
            </w:r>
          </w:p>
        </w:tc>
        <w:tc>
          <w:tcPr>
            <w:tcW w:w="9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服装与服饰设计</w:t>
            </w:r>
          </w:p>
        </w:tc>
        <w:tc>
          <w:tcPr>
            <w:tcW w:w="120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车辆工程</w:t>
            </w:r>
          </w:p>
        </w:tc>
        <w:tc>
          <w:tcPr>
            <w:tcW w:w="94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农学</w:t>
            </w:r>
          </w:p>
        </w:tc>
        <w:tc>
          <w:tcPr>
            <w:tcW w:w="105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03" w:type="dxa"/>
          <w:trHeight w:val="1623"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2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11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7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20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4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05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03" w:type="dxa"/>
          <w:trHeight w:val="62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招生专业对应的中职专业课教师任教专业</w:t>
            </w:r>
          </w:p>
        </w:tc>
        <w:tc>
          <w:tcPr>
            <w:tcW w:w="10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96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10"/>
                <w:sz w:val="15"/>
                <w:szCs w:val="15"/>
                <w:lang w:val="en-US" w:eastAsia="zh-CN" w:bidi="ar"/>
              </w:rPr>
              <w:t>电子与信息技术、电子技术应　　用</w:t>
            </w:r>
          </w:p>
        </w:tc>
        <w:tc>
          <w:tcPr>
            <w:tcW w:w="97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机电技术应用、机电设备安装与维修、机电一体化</w:t>
            </w:r>
          </w:p>
        </w:tc>
        <w:tc>
          <w:tcPr>
            <w:tcW w:w="12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数控技术应用、模具制造技术</w:t>
            </w:r>
          </w:p>
        </w:tc>
        <w:tc>
          <w:tcPr>
            <w:tcW w:w="111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机械制造技术、机械加工技术</w:t>
            </w:r>
          </w:p>
        </w:tc>
        <w:tc>
          <w:tcPr>
            <w:tcW w:w="76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电子电器应用与维修</w:t>
            </w:r>
          </w:p>
        </w:tc>
        <w:tc>
          <w:tcPr>
            <w:tcW w:w="9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Style w:val="10"/>
                <w:sz w:val="15"/>
                <w:szCs w:val="15"/>
                <w:lang w:val="en-US" w:eastAsia="zh-CN" w:bidi="ar"/>
              </w:rPr>
              <w:t>服装制作与生产管理、服装设计与工艺</w:t>
            </w:r>
          </w:p>
        </w:tc>
        <w:tc>
          <w:tcPr>
            <w:tcW w:w="120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汽车制造与检修</w:t>
            </w:r>
          </w:p>
        </w:tc>
        <w:tc>
          <w:tcPr>
            <w:tcW w:w="94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现代农艺技术、园林技术、园林绿化、果蔬花卉生产技术</w:t>
            </w:r>
          </w:p>
        </w:tc>
        <w:tc>
          <w:tcPr>
            <w:tcW w:w="105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03" w:type="dxa"/>
          <w:trHeight w:val="1347"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03" w:type="dxa"/>
          <w:trHeight w:val="580" w:hRule="atLeast"/>
        </w:trPr>
        <w:tc>
          <w:tcPr>
            <w:tcW w:w="214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常宁市</w:t>
            </w:r>
          </w:p>
        </w:tc>
        <w:tc>
          <w:tcPr>
            <w:tcW w:w="10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6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7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4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rPr>
          <w:rFonts w:eastAsia="黑体" w:cs="Times New Roman"/>
        </w:rPr>
        <w:sectPr>
          <w:pgSz w:w="16838" w:h="11906" w:orient="landscape"/>
          <w:pgMar w:top="1531" w:right="2098" w:bottom="1531" w:left="1984" w:header="851" w:footer="1587" w:gutter="0"/>
          <w:cols w:space="0" w:num="1"/>
          <w:rtlGutter w:val="0"/>
          <w:docGrid w:type="lines" w:linePitch="465" w:charSpace="0"/>
        </w:sectPr>
      </w:pPr>
    </w:p>
    <w:p>
      <w:pPr>
        <w:rPr>
          <w:rFonts w:eastAsia="黑体" w:cs="Times New Roman"/>
        </w:rPr>
      </w:pPr>
    </w:p>
    <w:p>
      <w:pPr>
        <w:widowControl/>
        <w:adjustRightInd w:val="0"/>
        <w:snapToGrid w:val="0"/>
        <w:jc w:val="left"/>
        <w:rPr>
          <w:rFonts w:hint="eastAsia" w:eastAsia="黑体" w:cs="Times New Roman"/>
          <w:lang w:val="en-US" w:eastAsia="zh-CN"/>
        </w:rPr>
      </w:pPr>
      <w:r>
        <w:rPr>
          <w:rFonts w:hint="eastAsia" w:eastAsia="黑体" w:cs="Times New Roman"/>
          <w:lang w:val="en-US" w:eastAsia="zh-CN"/>
        </w:rPr>
        <w:t>【</w:t>
      </w:r>
      <w:r>
        <w:rPr>
          <w:rFonts w:eastAsia="黑体" w:cs="Times New Roman"/>
        </w:rPr>
        <w:t>附件</w:t>
      </w:r>
      <w:r>
        <w:rPr>
          <w:rFonts w:hint="eastAsia" w:eastAsia="黑体" w:cs="Times New Roman"/>
          <w:lang w:val="en-US" w:eastAsia="zh-CN"/>
        </w:rPr>
        <w:t>2】</w:t>
      </w:r>
    </w:p>
    <w:p>
      <w:pPr>
        <w:adjustRightInd w:val="0"/>
        <w:snapToGrid w:val="0"/>
        <w:rPr>
          <w:rFonts w:cs="Times New Roman" w:eastAsiaTheme="minorEastAsia"/>
          <w:sz w:val="28"/>
          <w:szCs w:val="28"/>
        </w:rPr>
      </w:pPr>
    </w:p>
    <w:p>
      <w:pPr>
        <w:adjustRightInd w:val="0"/>
        <w:snapToGrid w:val="0"/>
        <w:jc w:val="center"/>
        <w:rPr>
          <w:rFonts w:eastAsia="方正小标宋简体" w:cs="Times New Roman"/>
          <w:color w:val="000000"/>
          <w:kern w:val="0"/>
          <w:sz w:val="44"/>
          <w:szCs w:val="44"/>
        </w:rPr>
      </w:pPr>
      <w:r>
        <w:rPr>
          <w:rFonts w:eastAsia="方正小标宋简体" w:cs="Times New Roman"/>
          <w:color w:val="000000"/>
          <w:kern w:val="0"/>
          <w:sz w:val="44"/>
          <w:szCs w:val="44"/>
        </w:rPr>
        <w:t>2019年湖南省高中（中职）起点</w:t>
      </w:r>
    </w:p>
    <w:p>
      <w:pPr>
        <w:adjustRightInd w:val="0"/>
        <w:snapToGrid w:val="0"/>
        <w:jc w:val="center"/>
        <w:rPr>
          <w:rFonts w:eastAsia="方正小标宋简体" w:cs="Times New Roman"/>
          <w:color w:val="000000"/>
          <w:kern w:val="0"/>
          <w:sz w:val="44"/>
          <w:szCs w:val="44"/>
        </w:rPr>
      </w:pPr>
      <w:r>
        <w:rPr>
          <w:rFonts w:eastAsia="方正小标宋简体" w:cs="Times New Roman"/>
          <w:color w:val="000000"/>
          <w:kern w:val="0"/>
          <w:sz w:val="44"/>
          <w:szCs w:val="44"/>
        </w:rPr>
        <w:t>本科层次农村教师公费定向培养计划</w:t>
      </w:r>
    </w:p>
    <w:p>
      <w:pPr>
        <w:adjustRightInd w:val="0"/>
        <w:snapToGrid w:val="0"/>
        <w:jc w:val="center"/>
        <w:rPr>
          <w:rFonts w:eastAsia="方正小标宋简体" w:cs="Times New Roman"/>
          <w:color w:val="000000"/>
          <w:kern w:val="0"/>
          <w:sz w:val="44"/>
          <w:szCs w:val="44"/>
        </w:rPr>
      </w:pPr>
      <w:r>
        <w:rPr>
          <w:rFonts w:eastAsia="方正小标宋简体" w:cs="Times New Roman"/>
          <w:color w:val="000000"/>
          <w:spacing w:val="80"/>
          <w:kern w:val="0"/>
          <w:sz w:val="44"/>
          <w:szCs w:val="44"/>
        </w:rPr>
        <w:t>有关政策说</w:t>
      </w:r>
      <w:r>
        <w:rPr>
          <w:rFonts w:eastAsia="方正小标宋简体" w:cs="Times New Roman"/>
          <w:color w:val="000000"/>
          <w:kern w:val="0"/>
          <w:sz w:val="44"/>
          <w:szCs w:val="44"/>
        </w:rPr>
        <w:t>明</w:t>
      </w:r>
    </w:p>
    <w:p>
      <w:pPr>
        <w:adjustRightInd w:val="0"/>
        <w:snapToGrid w:val="0"/>
        <w:jc w:val="center"/>
        <w:rPr>
          <w:rFonts w:cs="Times New Roman" w:eastAsiaTheme="minorEastAsia"/>
          <w:sz w:val="40"/>
          <w:szCs w:val="40"/>
        </w:rPr>
      </w:pPr>
    </w:p>
    <w:p>
      <w:pPr>
        <w:adjustRightInd w:val="0"/>
        <w:snapToGrid w:val="0"/>
        <w:spacing w:line="560" w:lineRule="exact"/>
        <w:ind w:firstLine="640" w:firstLineChars="200"/>
        <w:rPr>
          <w:rFonts w:cs="Times New Roman"/>
          <w:szCs w:val="32"/>
        </w:rPr>
      </w:pPr>
      <w:r>
        <w:rPr>
          <w:rFonts w:cs="Times New Roman"/>
          <w:szCs w:val="32"/>
        </w:rPr>
        <w:t>一、报考“省内公费定向师范生”的考生，第一次填报时，不能兼报本科提前批中的军事、公安、航海、艺术、基层农技特岗、其他类院校（专业）；征集志愿填报时，不能兼报军事院校和基层农技特岗人员招生院校（专业）。</w:t>
      </w:r>
    </w:p>
    <w:p>
      <w:pPr>
        <w:adjustRightInd w:val="0"/>
        <w:snapToGrid w:val="0"/>
        <w:spacing w:line="560" w:lineRule="exact"/>
        <w:ind w:firstLine="640" w:firstLineChars="200"/>
        <w:rPr>
          <w:rFonts w:cs="Times New Roman"/>
          <w:szCs w:val="32"/>
        </w:rPr>
      </w:pPr>
      <w:r>
        <w:rPr>
          <w:rFonts w:cs="Times New Roman"/>
          <w:szCs w:val="32"/>
        </w:rPr>
        <w:t>二、按“分数优先、遵循志愿”原则确定考生专业，优先录取直接志愿考生（先录取线上直接志愿考生，再降分录取直接志愿考生）。直接志愿生源不足时，再从“专业服从”的考生中，由高分到低分进行调剂录取。</w:t>
      </w:r>
    </w:p>
    <w:p>
      <w:pPr>
        <w:adjustRightInd w:val="0"/>
        <w:snapToGrid w:val="0"/>
        <w:spacing w:line="560" w:lineRule="exact"/>
        <w:ind w:firstLine="640" w:firstLineChars="200"/>
        <w:rPr>
          <w:rFonts w:cs="Times New Roman"/>
          <w:szCs w:val="32"/>
        </w:rPr>
      </w:pPr>
      <w:r>
        <w:rPr>
          <w:rFonts w:cs="Times New Roman"/>
          <w:szCs w:val="32"/>
        </w:rPr>
        <w:t>三、公费定向师范生在校学习期间的学费、住宿费、教材费和军训服装费免缴，其所需费用由财政公费承担；并按国家和省有关规定享受奖助学金等资助政策，在资助政策规定范围内与其他在校生享受同等待遇。</w:t>
      </w:r>
    </w:p>
    <w:p>
      <w:pPr>
        <w:adjustRightInd w:val="0"/>
        <w:snapToGrid w:val="0"/>
        <w:spacing w:line="560" w:lineRule="exact"/>
        <w:ind w:firstLine="640" w:firstLineChars="200"/>
        <w:rPr>
          <w:rFonts w:cs="Times New Roman"/>
          <w:spacing w:val="-10"/>
          <w:szCs w:val="32"/>
        </w:rPr>
      </w:pPr>
      <w:r>
        <w:rPr>
          <w:rFonts w:cs="Times New Roman"/>
          <w:szCs w:val="32"/>
        </w:rPr>
        <w:t>四、</w:t>
      </w:r>
      <w:r>
        <w:rPr>
          <w:rFonts w:cs="Times New Roman"/>
          <w:spacing w:val="-10"/>
          <w:szCs w:val="32"/>
        </w:rPr>
        <w:t>公费定向师范生在校学习期间，一律不得转学，原则上不得转专业。</w:t>
      </w:r>
    </w:p>
    <w:p>
      <w:pPr>
        <w:adjustRightInd w:val="0"/>
        <w:snapToGrid w:val="0"/>
        <w:spacing w:line="560" w:lineRule="exact"/>
        <w:ind w:firstLine="640" w:firstLineChars="200"/>
        <w:rPr>
          <w:rFonts w:cs="Times New Roman"/>
          <w:szCs w:val="32"/>
        </w:rPr>
      </w:pPr>
      <w:r>
        <w:rPr>
          <w:rFonts w:cs="Times New Roman"/>
          <w:szCs w:val="32"/>
        </w:rPr>
        <w:t>五、公费定向师范生应在毕业当年上岗前通过国家中小学教师资格统一考试，并取得相应的教师资格，符合相应教师执证上岗条件，否则，按违约情形处理。</w:t>
      </w:r>
    </w:p>
    <w:p>
      <w:pPr>
        <w:adjustRightInd w:val="0"/>
        <w:snapToGrid w:val="0"/>
        <w:spacing w:line="560" w:lineRule="exact"/>
        <w:ind w:firstLine="640" w:firstLineChars="200"/>
        <w:rPr>
          <w:rFonts w:cs="Times New Roman"/>
          <w:szCs w:val="32"/>
        </w:rPr>
      </w:pPr>
      <w:r>
        <w:rPr>
          <w:rFonts w:cs="Times New Roman"/>
          <w:szCs w:val="32"/>
        </w:rPr>
        <w:t>六、公费定向师范生毕业后，依据招生计划所规定的服务地域和服务学校类型任教服务，时间不少于6年，其任教岗位和编制由签订协议的县市区负责落实。</w:t>
      </w:r>
    </w:p>
    <w:p>
      <w:pPr>
        <w:adjustRightInd w:val="0"/>
        <w:snapToGrid w:val="0"/>
        <w:spacing w:line="560" w:lineRule="exact"/>
        <w:ind w:firstLine="640" w:firstLineChars="200"/>
        <w:rPr>
          <w:rFonts w:cs="Times New Roman"/>
          <w:szCs w:val="32"/>
        </w:rPr>
      </w:pPr>
      <w:r>
        <w:rPr>
          <w:rFonts w:cs="Times New Roman"/>
          <w:szCs w:val="32"/>
        </w:rPr>
        <w:t>七、公费定向师范生在协议规定的服务期内，不得脱产攻读普通硕士学位，但可在职攻读教育硕士专业学位。</w:t>
      </w:r>
    </w:p>
    <w:p>
      <w:pPr>
        <w:adjustRightInd w:val="0"/>
        <w:snapToGrid w:val="0"/>
        <w:spacing w:line="560" w:lineRule="exact"/>
        <w:ind w:firstLine="640" w:firstLineChars="200"/>
        <w:rPr>
          <w:rFonts w:cs="Times New Roman"/>
          <w:szCs w:val="32"/>
        </w:rPr>
      </w:pPr>
      <w:r>
        <w:rPr>
          <w:rFonts w:cs="Times New Roman"/>
          <w:szCs w:val="32"/>
        </w:rPr>
        <w:t>八、公费定向师范生在协议规定的服务期内，经县级教育行政部门批准，可依据招生计划所规定的服务地域和服务学校类型，在所定向的县市区的相应学校间流动，或从事教育管理工作。</w:t>
      </w:r>
    </w:p>
    <w:p>
      <w:pPr>
        <w:adjustRightInd w:val="0"/>
        <w:snapToGrid w:val="0"/>
        <w:spacing w:line="560" w:lineRule="exact"/>
        <w:ind w:firstLine="640" w:firstLineChars="200"/>
        <w:rPr>
          <w:rFonts w:cs="Times New Roman"/>
          <w:szCs w:val="32"/>
        </w:rPr>
      </w:pPr>
      <w:r>
        <w:rPr>
          <w:rFonts w:cs="Times New Roman"/>
          <w:szCs w:val="32"/>
        </w:rPr>
        <w:t>九、未能履行协议的公费定向师范生，按规定退还所享受的公费培养费用并缴纳违约金。</w:t>
      </w:r>
    </w:p>
    <w:p>
      <w:pPr>
        <w:adjustRightInd w:val="0"/>
        <w:snapToGrid w:val="0"/>
        <w:spacing w:line="560" w:lineRule="exact"/>
        <w:ind w:firstLine="640" w:firstLineChars="200"/>
        <w:rPr>
          <w:rFonts w:cs="Times New Roman"/>
          <w:szCs w:val="32"/>
        </w:rPr>
      </w:pPr>
      <w:r>
        <w:rPr>
          <w:rFonts w:cs="Times New Roman"/>
          <w:szCs w:val="32"/>
        </w:rPr>
        <w:t>十、市州、县市区教育行政部门负责本行政区域内公费定向师范生的履约管理，建立诚信档案，公布公费定向师范生的违约记录，并将违约情况记入人事档案，负责管理退还的公费培养费用和违约金。12月底前，各市州教育（体）局应汇总本辖区内当年已办理违约处理手续的公费定向师范毕业生的有关情况，填写《2019年湖南省公费定向师范毕业生违约处理情况汇总表》（附件10），并报送省教育厅（含电子文档）。</w:t>
      </w:r>
    </w:p>
    <w:p>
      <w:pPr>
        <w:adjustRightInd w:val="0"/>
        <w:snapToGrid w:val="0"/>
        <w:rPr>
          <w:rFonts w:cs="Times New Roman" w:eastAsiaTheme="minorEastAsia"/>
        </w:rPr>
      </w:pPr>
    </w:p>
    <w:sectPr>
      <w:pgSz w:w="11906" w:h="16838"/>
      <w:pgMar w:top="2098" w:right="1531" w:bottom="1984" w:left="1531" w:header="851" w:footer="1587" w:gutter="0"/>
      <w:cols w:space="0" w:num="1"/>
      <w:rtlGutter w:val="0"/>
      <w:docGrid w:type="lines" w:linePitch="4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sz w:val="28"/>
        <w:szCs w:val="28"/>
      </w:rPr>
    </w:pPr>
    <w:r>
      <w:rPr>
        <w:rFonts w:hint="eastAsia" w:ascii="仿宋_GB2312"/>
        <w:sz w:val="28"/>
        <w:szCs w:val="28"/>
      </w:rPr>
      <w:t>－</w:t>
    </w:r>
    <w:sdt>
      <w:sdtPr>
        <w:rPr>
          <w:rFonts w:ascii="仿宋_GB2312"/>
          <w:sz w:val="28"/>
          <w:szCs w:val="28"/>
        </w:rPr>
        <w:id w:val="-916548207"/>
        <w:docPartObj>
          <w:docPartGallery w:val="autotext"/>
        </w:docPartObj>
      </w:sdtPr>
      <w:sdtEndPr>
        <w:rPr>
          <w:rFonts w:ascii="仿宋_GB2312"/>
          <w:sz w:val="28"/>
          <w:szCs w:val="28"/>
        </w:rPr>
      </w:sdtEndPr>
      <w:sdtContent>
        <w:r>
          <w:rPr>
            <w:rFonts w:ascii="仿宋_GB2312"/>
            <w:sz w:val="28"/>
            <w:szCs w:val="28"/>
          </w:rPr>
          <w:fldChar w:fldCharType="begin"/>
        </w:r>
        <w:r>
          <w:rPr>
            <w:rFonts w:ascii="仿宋_GB2312"/>
            <w:sz w:val="28"/>
            <w:szCs w:val="28"/>
          </w:rPr>
          <w:instrText xml:space="preserve">PAGE   \* MERGEFORMAT</w:instrText>
        </w:r>
        <w:r>
          <w:rPr>
            <w:rFonts w:ascii="仿宋_GB2312"/>
            <w:sz w:val="28"/>
            <w:szCs w:val="28"/>
          </w:rPr>
          <w:fldChar w:fldCharType="separate"/>
        </w:r>
        <w:r>
          <w:rPr>
            <w:rFonts w:ascii="仿宋_GB2312"/>
            <w:sz w:val="28"/>
            <w:szCs w:val="28"/>
          </w:rPr>
          <w:t>9</w:t>
        </w:r>
        <w:r>
          <w:rPr>
            <w:rFonts w:ascii="仿宋_GB2312"/>
            <w:sz w:val="28"/>
            <w:szCs w:val="28"/>
          </w:rPr>
          <w:fldChar w:fldCharType="end"/>
        </w:r>
        <w:r>
          <w:rPr>
            <w:rFonts w:hint="eastAsia" w:ascii="仿宋_GB2312"/>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6988722"/>
      <w:docPartObj>
        <w:docPartGallery w:val="autotext"/>
      </w:docPartObj>
    </w:sdtPr>
    <w:sdtEndPr>
      <w:rPr>
        <w:rFonts w:hint="eastAsia" w:ascii="仿宋_GB2312"/>
        <w:sz w:val="28"/>
        <w:szCs w:val="28"/>
      </w:rPr>
    </w:sdtEndPr>
    <w:sdtContent>
      <w:p>
        <w:pPr>
          <w:pStyle w:val="3"/>
          <w:rPr>
            <w:rFonts w:ascii="仿宋_GB2312"/>
            <w:sz w:val="28"/>
            <w:szCs w:val="28"/>
          </w:rPr>
        </w:pPr>
        <w:r>
          <w:rPr>
            <w:rFonts w:hint="eastAsia" w:ascii="仿宋_GB2312"/>
            <w:sz w:val="28"/>
            <w:szCs w:val="28"/>
          </w:rPr>
          <w:t>－</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10</w:t>
        </w:r>
        <w:r>
          <w:rPr>
            <w:rFonts w:hint="eastAsia" w:ascii="仿宋_GB2312"/>
            <w:sz w:val="28"/>
            <w:szCs w:val="28"/>
          </w:rPr>
          <w:fldChar w:fldCharType="end"/>
        </w:r>
        <w:r>
          <w:rPr>
            <w:rFonts w:hint="eastAsia" w:ascii="仿宋_GB2312"/>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evenAndOddHeaders w:val="1"/>
  <w:drawingGridHorizontalSpacing w:val="158"/>
  <w:drawingGridVerticalSpacing w:val="23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2C"/>
    <w:rsid w:val="001B5FDF"/>
    <w:rsid w:val="00377F68"/>
    <w:rsid w:val="0044574E"/>
    <w:rsid w:val="00447E0A"/>
    <w:rsid w:val="005C74F8"/>
    <w:rsid w:val="00731644"/>
    <w:rsid w:val="00773716"/>
    <w:rsid w:val="00773844"/>
    <w:rsid w:val="00773871"/>
    <w:rsid w:val="007B3613"/>
    <w:rsid w:val="007D512C"/>
    <w:rsid w:val="00853B90"/>
    <w:rsid w:val="00A373B6"/>
    <w:rsid w:val="00A93B36"/>
    <w:rsid w:val="00B26DF6"/>
    <w:rsid w:val="00C21E63"/>
    <w:rsid w:val="00D026AC"/>
    <w:rsid w:val="00DD6CA9"/>
    <w:rsid w:val="00EE7B21"/>
    <w:rsid w:val="027A177E"/>
    <w:rsid w:val="28B45794"/>
    <w:rsid w:val="47C46C42"/>
    <w:rsid w:val="60A21343"/>
    <w:rsid w:val="6B9851C1"/>
    <w:rsid w:val="6F8B480F"/>
    <w:rsid w:val="7F59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font3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7B789-400A-450B-812A-E867440C2C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9401</Words>
  <Characters>53587</Characters>
  <Lines>446</Lines>
  <Paragraphs>125</Paragraphs>
  <TotalTime>48</TotalTime>
  <ScaleCrop>false</ScaleCrop>
  <LinksUpToDate>false</LinksUpToDate>
  <CharactersWithSpaces>62863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2019-06-04T08:59:00Z</dcterms:created>
  <dc:creator>常华</dc:creator>
  <cp:lastModifiedBy>洞宾传人</cp:lastModifiedBy>
  <cp:lastPrinted>2019-06-13T09:24:00Z</cp:lastPrinted>
  <dcterms:modified xsi:type="dcterms:W3CDTF">2019-06-19T06:53:49Z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