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00" w:lineRule="exact"/>
        <w:ind w:left="26" w:right="0"/>
        <w:jc w:val="left"/>
      </w:pPr>
      <w:r>
        <w:rPr>
          <w:rFonts w:hint="default" w:ascii="仿宋_GB2312" w:eastAsia="仿宋_GB2312" w:cs="仿宋_GB2312" w:hAnsiTheme="minorHAnsi"/>
          <w:color w:val="444444"/>
          <w:kern w:val="0"/>
          <w:sz w:val="32"/>
          <w:szCs w:val="32"/>
          <w:lang w:val="en-US" w:eastAsia="zh-CN" w:bidi="ar"/>
        </w:rPr>
        <w:t> </w:t>
      </w:r>
    </w:p>
    <w:tbl>
      <w:tblPr>
        <w:tblpPr w:leftFromText="180" w:rightFromText="180" w:vertAnchor="page" w:horzAnchor="margin" w:tblpXSpec="left" w:tblpY="1611"/>
        <w:tblW w:w="8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314"/>
        <w:gridCol w:w="673"/>
        <w:gridCol w:w="3364"/>
        <w:gridCol w:w="1748"/>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555" w:hRule="atLeast"/>
        </w:trPr>
        <w:tc>
          <w:tcPr>
            <w:tcW w:w="8580" w:type="dxa"/>
            <w:gridSpan w:val="5"/>
            <w:tcBorders>
              <w:top w:val="nil"/>
              <w:left w:val="nil"/>
              <w:bottom w:val="single" w:color="000000" w:sz="4" w:space="0"/>
              <w:right w:val="nil"/>
            </w:tcBorders>
            <w:shd w:val="clear"/>
            <w:vAlign w:val="center"/>
          </w:tcPr>
          <w:p>
            <w:pPr>
              <w:pStyle w:val="2"/>
              <w:keepNext w:val="0"/>
              <w:keepLines w:val="0"/>
              <w:widowControl/>
              <w:suppressLineNumbers w:val="0"/>
              <w:spacing w:before="250" w:beforeAutospacing="0" w:after="0" w:afterAutospacing="0"/>
              <w:ind w:left="26" w:right="0"/>
            </w:pPr>
            <w:bookmarkStart w:id="0" w:name="_GoBack"/>
            <w:r>
              <w:rPr>
                <w:rFonts w:ascii="仿宋_GB2312" w:eastAsia="仿宋_GB2312" w:cs="仿宋_GB2312"/>
                <w:color w:val="444444"/>
                <w:sz w:val="32"/>
                <w:szCs w:val="32"/>
                <w:lang w:val="en-US"/>
              </w:rPr>
              <w:t>2017</w:t>
            </w:r>
            <w:r>
              <w:rPr>
                <w:rFonts w:hint="default" w:ascii="仿宋_GB2312" w:eastAsia="仿宋_GB2312" w:cs="仿宋_GB2312"/>
                <w:color w:val="444444"/>
                <w:sz w:val="32"/>
                <w:szCs w:val="32"/>
              </w:rPr>
              <w:t>年乐清市公开招聘教师岗位一览表</w:t>
            </w:r>
          </w:p>
          <w:bookmarkEnd w:id="0"/>
          <w:p>
            <w:pPr>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kern w:val="0"/>
                <w:sz w:val="32"/>
                <w:szCs w:val="32"/>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404"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黑体" w:hAnsi="宋体" w:eastAsia="黑体" w:cs="黑体"/>
                <w:color w:val="000000"/>
                <w:kern w:val="0"/>
                <w:sz w:val="22"/>
                <w:szCs w:val="22"/>
                <w:bdr w:val="none" w:color="auto" w:sz="0" w:space="0"/>
                <w:lang w:val="en-US" w:eastAsia="zh-CN" w:bidi="ar"/>
              </w:rPr>
              <w:t>岗位（学科）</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w w:val="60"/>
                <w:kern w:val="0"/>
                <w:sz w:val="22"/>
                <w:szCs w:val="22"/>
                <w:bdr w:val="none" w:color="auto" w:sz="0" w:space="0"/>
                <w:lang w:val="en-US" w:eastAsia="zh-CN" w:bidi="ar"/>
              </w:rPr>
              <w:t>岗位数</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2"/>
                <w:szCs w:val="22"/>
                <w:bdr w:val="none" w:color="auto" w:sz="0" w:space="0"/>
                <w:lang w:val="en-US" w:eastAsia="zh-CN" w:bidi="ar"/>
              </w:rPr>
              <w:t>相关学校及岗位数</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资格要求</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高中数学</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大荆中学</w:t>
            </w:r>
          </w:p>
        </w:tc>
        <w:tc>
          <w:tcPr>
            <w:tcW w:w="1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全日制本科及以上，教师资格证和毕业证书所载专业对口，具备本公告要求的户籍、年龄等要求</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高中英语</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白象中学</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高中生物</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大荆中学、柳市中学</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高中政治</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大荆中学、白象中学</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高中历史</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大荆中学、柳市中学</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高中地理</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市二中、市三中、虹桥中学</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职高语文</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虹桥职校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职高音乐</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柳市职校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职高信息</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柳市职校、虹桥职校（</w:t>
            </w:r>
            <w:r>
              <w:rPr>
                <w:rFonts w:asciiTheme="minorHAnsi" w:hAnsiTheme="minorHAnsi" w:eastAsiaTheme="minorEastAsia" w:cstheme="minorBidi"/>
                <w:color w:val="000000"/>
                <w:kern w:val="0"/>
                <w:sz w:val="22"/>
                <w:szCs w:val="22"/>
                <w:bdr w:val="none" w:color="auto" w:sz="0" w:space="0"/>
                <w:lang w:val="en-US" w:eastAsia="zh-CN" w:bidi="ar"/>
              </w:rPr>
              <w:t>2</w:t>
            </w:r>
            <w:r>
              <w:rPr>
                <w:rFonts w:hint="eastAsia" w:ascii="宋体" w:hAnsi="宋体" w:eastAsia="宋体" w:cs="宋体"/>
                <w:color w:val="000000"/>
                <w:kern w:val="0"/>
                <w:sz w:val="22"/>
                <w:szCs w:val="22"/>
                <w:bdr w:val="none" w:color="auto" w:sz="0" w:space="0"/>
                <w:lang w:val="en-US" w:eastAsia="zh-CN" w:bidi="ar"/>
              </w:rPr>
              <w:t>）</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财务会计</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柳市职校（</w:t>
            </w:r>
            <w:r>
              <w:rPr>
                <w:rFonts w:asciiTheme="minorHAnsi" w:hAnsiTheme="minorHAnsi" w:eastAsiaTheme="minorEastAsia" w:cstheme="minorBidi"/>
                <w:color w:val="000000"/>
                <w:kern w:val="0"/>
                <w:sz w:val="22"/>
                <w:szCs w:val="22"/>
                <w:bdr w:val="none" w:color="auto" w:sz="0" w:space="0"/>
                <w:lang w:val="en-US" w:eastAsia="zh-CN" w:bidi="ar"/>
              </w:rPr>
              <w:t>2</w:t>
            </w:r>
            <w:r>
              <w:rPr>
                <w:rFonts w:hint="eastAsia" w:ascii="宋体" w:hAnsi="宋体" w:eastAsia="宋体" w:cs="宋体"/>
                <w:color w:val="000000"/>
                <w:kern w:val="0"/>
                <w:sz w:val="22"/>
                <w:szCs w:val="22"/>
                <w:bdr w:val="none" w:color="auto" w:sz="0" w:space="0"/>
                <w:lang w:val="en-US" w:eastAsia="zh-CN" w:bidi="ar"/>
              </w:rPr>
              <w:t>）、虹桥职校</w:t>
            </w:r>
          </w:p>
        </w:tc>
        <w:tc>
          <w:tcPr>
            <w:tcW w:w="1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全日制本科及以上，专业符合要求具备本公告要求的户籍、年龄等要求</w:t>
            </w:r>
          </w:p>
        </w:tc>
        <w:tc>
          <w:tcPr>
            <w:tcW w:w="14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职高专业课拟聘对象须两年内取得相应教师资格证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527"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exact"/>
              <w:ind w:left="0" w:right="0"/>
              <w:jc w:val="center"/>
            </w:pPr>
            <w:r>
              <w:rPr>
                <w:rFonts w:hint="eastAsia" w:ascii="宋体" w:hAnsi="宋体" w:eastAsia="宋体" w:cs="宋体"/>
                <w:color w:val="000000"/>
                <w:kern w:val="0"/>
                <w:sz w:val="22"/>
                <w:szCs w:val="22"/>
                <w:bdr w:val="none" w:color="auto" w:sz="0" w:space="0"/>
                <w:lang w:val="en-US" w:eastAsia="zh-CN" w:bidi="ar"/>
              </w:rPr>
              <w:t>电气工程与自动化</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柳市职校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市场营销</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雁荡山旅游学校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国际贸易</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市职业中专</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564"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初中语文</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4</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大荆一中、镇安学校、芙蓉镇中、白石中雁</w:t>
            </w:r>
          </w:p>
        </w:tc>
        <w:tc>
          <w:tcPr>
            <w:tcW w:w="1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全日制本科及以上，教师资格证和毕业证书所载专业对口，具备本公告要求的户籍、年龄、技能证书、等要求</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初中数学</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镇安学校、仙溪镇中、柳市一中</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初中英语</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大荆一中、白石中雁、白象镇中</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0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初中科学</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龙西学校、乐成一中、茗西学校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758"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初中社会</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翁垟一中、茗西学校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1118"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小学语文</w:t>
            </w:r>
            <w:r>
              <w:rPr>
                <w:rFonts w:asciiTheme="minorHAnsi" w:hAnsiTheme="minorHAnsi" w:eastAsiaTheme="minorEastAsia" w:cstheme="minorBidi"/>
                <w:color w:val="000000"/>
                <w:kern w:val="0"/>
                <w:sz w:val="22"/>
                <w:szCs w:val="22"/>
                <w:bdr w:val="none" w:color="auto" w:sz="0" w:space="0"/>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15</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雁东学校（</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）、大荆一小、大荆二小、大荆三小、大荆六小（</w:t>
            </w:r>
            <w:r>
              <w:rPr>
                <w:rFonts w:asciiTheme="minorHAnsi" w:hAnsiTheme="minorHAnsi" w:eastAsiaTheme="minorEastAsia" w:cstheme="minorBidi"/>
                <w:color w:val="000000"/>
                <w:kern w:val="0"/>
                <w:sz w:val="20"/>
                <w:szCs w:val="20"/>
                <w:bdr w:val="none" w:color="auto" w:sz="0" w:space="0"/>
                <w:lang w:val="en-US" w:eastAsia="zh-CN" w:bidi="ar"/>
              </w:rPr>
              <w:t>3</w:t>
            </w:r>
            <w:r>
              <w:rPr>
                <w:rFonts w:hint="eastAsia" w:ascii="宋体" w:hAnsi="宋体" w:eastAsia="宋体" w:cs="宋体"/>
                <w:color w:val="000000"/>
                <w:kern w:val="0"/>
                <w:sz w:val="20"/>
                <w:szCs w:val="20"/>
                <w:bdr w:val="none" w:color="auto" w:sz="0" w:space="0"/>
                <w:lang w:val="en-US" w:eastAsia="zh-CN" w:bidi="ar"/>
              </w:rPr>
              <w:t>）、智仁小学、智仁寄宿（</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）、福溪学校、仙溪一小、仙溪二小、龙西学校</w:t>
            </w:r>
          </w:p>
        </w:tc>
        <w:tc>
          <w:tcPr>
            <w:tcW w:w="1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全日制师范类大专或全日制本科及以上，报考专业以教师资格证或毕业证书所载专业为准，具备本公告要求的户籍、年龄等要求</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小学语文</w:t>
            </w:r>
            <w:r>
              <w:rPr>
                <w:rFonts w:asciiTheme="minorHAnsi" w:hAnsiTheme="minorHAnsi" w:eastAsiaTheme="minorEastAsia" w:cstheme="minorBidi"/>
                <w:color w:val="000000"/>
                <w:kern w:val="0"/>
                <w:sz w:val="22"/>
                <w:szCs w:val="22"/>
                <w:bdr w:val="none" w:color="auto" w:sz="0" w:space="0"/>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15</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雁荡二小、雁荡六小、雁湖学校、芙蓉二小（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）、清江一小（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）、虹桥五小（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）、南岳镇小、南岳二小、淡溪一小（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）、淡溪二小、淡溪三小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1608"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小学语文</w:t>
            </w:r>
            <w:r>
              <w:rPr>
                <w:rFonts w:asciiTheme="minorHAnsi" w:hAnsiTheme="minorHAnsi" w:eastAsiaTheme="minorEastAsia" w:cstheme="minorBidi"/>
                <w:color w:val="000000"/>
                <w:kern w:val="0"/>
                <w:sz w:val="22"/>
                <w:szCs w:val="22"/>
                <w:bdr w:val="none" w:color="auto" w:sz="0" w:space="0"/>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16</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翁垟五小、白石小学、柳市一小、柳市五小（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）、柳市九小、柳市十小（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）、柳市十二小、柳市十七小、万家学校、白象一小、白象四小、白象五小（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）、白象七小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841"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小学数学</w:t>
            </w:r>
            <w:r>
              <w:rPr>
                <w:rFonts w:asciiTheme="minorHAnsi" w:hAnsiTheme="minorHAnsi" w:eastAsiaTheme="minorEastAsia" w:cstheme="minorBidi"/>
                <w:color w:val="000000"/>
                <w:kern w:val="0"/>
                <w:sz w:val="22"/>
                <w:szCs w:val="22"/>
                <w:bdr w:val="none" w:color="auto" w:sz="0" w:space="0"/>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10</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大荆二小、大荆四小、大荆六小、大荆七小、智仁小学、智仁寄宿、福溪学校芙蓉一小、雁湖希望、淡溪二小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287"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小学数学</w:t>
            </w:r>
            <w:r>
              <w:rPr>
                <w:rFonts w:asciiTheme="minorHAnsi" w:hAnsiTheme="minorHAnsi" w:eastAsiaTheme="minorEastAsia" w:cstheme="minorBidi"/>
                <w:color w:val="000000"/>
                <w:kern w:val="0"/>
                <w:sz w:val="22"/>
                <w:szCs w:val="22"/>
                <w:bdr w:val="none" w:color="auto" w:sz="0" w:space="0"/>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10</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清江一小（</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）、翁垟五小、白石小学、柳市十小、万家学校（</w:t>
            </w:r>
            <w:r>
              <w:rPr>
                <w:rFonts w:asciiTheme="minorHAnsi" w:hAnsiTheme="minorHAnsi" w:eastAsiaTheme="minorEastAsia" w:cstheme="minorBidi"/>
                <w:color w:val="000000"/>
                <w:kern w:val="0"/>
                <w:sz w:val="20"/>
                <w:szCs w:val="20"/>
                <w:bdr w:val="none" w:color="auto" w:sz="0" w:space="0"/>
                <w:lang w:val="en-US" w:eastAsia="zh-CN" w:bidi="ar"/>
              </w:rPr>
              <w:t>2</w:t>
            </w:r>
            <w:r>
              <w:rPr>
                <w:rFonts w:hint="eastAsia" w:ascii="宋体" w:hAnsi="宋体" w:eastAsia="宋体" w:cs="宋体"/>
                <w:color w:val="000000"/>
                <w:kern w:val="0"/>
                <w:sz w:val="20"/>
                <w:szCs w:val="20"/>
                <w:bdr w:val="none" w:color="auto" w:sz="0" w:space="0"/>
                <w:lang w:val="en-US" w:eastAsia="zh-CN" w:bidi="ar"/>
              </w:rPr>
              <w:t>）、白象七小、白象八小、磐石镇小</w:t>
            </w:r>
          </w:p>
        </w:tc>
        <w:tc>
          <w:tcPr>
            <w:tcW w:w="1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全日制师范类大专或全日制本科及以上，报考专业以教师资格证或毕业证书所载专业为准，具备本公告要求的户籍、年龄等要求</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小学英语</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7</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大荆三小、湖雾镇小、淡溪三小、翁垟五小、白象二小、白象四小、白象五小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小学科学</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8</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大荆四小、智仁寄宿小学、雁荡海岛小学、翁垟四小、柳市四小、柳市七小、柳市十一小、白象三小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564"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小学音乐</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6</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大荆三小、雁荡一小、仙溪二小、清北学校、清江一小、白象七小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564"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小学美术</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6</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大荆一小、大荆二小、湖雾镇小学、清北学校、柳市三小、磐石镇小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35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小学信息</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翁垟五小</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特教语文</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特殊学校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特教数学</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特殊学校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1396"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特殊教育</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特殊学校</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面向温州地区，户籍判定条件参考同本公告第一条第四款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2227"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小学体育</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13</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雁东学校、镇安学校、大荆三小、雁荡六小、白石小学、柳市四小、柳市五小、柳市十小、柳市十五小、万家学校、白象一小、白象二小、磐石镇小</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全日制大专及以上，报考专业以教师资格证或毕业证书所载专业为准，具备本公告要求的户籍、年龄等要求</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0"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学前教育</w:t>
            </w:r>
            <w:r>
              <w:rPr>
                <w:rFonts w:asciiTheme="minorHAnsi" w:hAnsiTheme="minorHAnsi" w:eastAsiaTheme="minorEastAsia" w:cstheme="minorBidi"/>
                <w:color w:val="000000"/>
                <w:kern w:val="0"/>
                <w:sz w:val="22"/>
                <w:szCs w:val="22"/>
                <w:bdr w:val="none" w:color="auto" w:sz="0" w:space="0"/>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石帆二幼</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仅限</w:t>
            </w:r>
            <w:r>
              <w:rPr>
                <w:rFonts w:asciiTheme="minorHAnsi" w:hAnsiTheme="minorHAnsi" w:eastAsiaTheme="minorEastAsia" w:cstheme="minorBidi"/>
                <w:kern w:val="0"/>
                <w:sz w:val="24"/>
                <w:szCs w:val="10"/>
                <w:bdr w:val="none" w:color="auto" w:sz="0" w:space="0"/>
                <w:lang w:val="en-US" w:eastAsia="zh-CN" w:bidi="ar"/>
              </w:rPr>
              <w:t>2007</w:t>
            </w:r>
            <w:r>
              <w:rPr>
                <w:rFonts w:hint="eastAsia" w:ascii="宋体" w:hAnsi="宋体" w:eastAsia="宋体" w:cs="宋体"/>
                <w:kern w:val="0"/>
                <w:sz w:val="24"/>
                <w:szCs w:val="24"/>
                <w:bdr w:val="none" w:color="auto" w:sz="0" w:space="0"/>
                <w:lang w:val="en-US" w:eastAsia="zh-CN" w:bidi="ar"/>
              </w:rPr>
              <w:t>年及以前学前教育专业毕业并由乐清市教育局派遣到民办幼儿园并一直在岗工作的人员</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招考岗位比例放宽要求到</w:t>
            </w:r>
            <w:r>
              <w:rPr>
                <w:rFonts w:asciiTheme="minorHAnsi" w:hAnsiTheme="minorHAnsi" w:eastAsiaTheme="minorEastAsia" w:cstheme="minorBidi"/>
                <w:kern w:val="0"/>
                <w:sz w:val="24"/>
                <w:szCs w:val="10"/>
                <w:bdr w:val="none" w:color="auto" w:sz="0" w:space="0"/>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564"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学前教育</w:t>
            </w:r>
            <w:r>
              <w:rPr>
                <w:rFonts w:asciiTheme="minorHAnsi" w:hAnsiTheme="minorHAnsi" w:eastAsiaTheme="minorEastAsia" w:cstheme="minorBidi"/>
                <w:color w:val="000000"/>
                <w:kern w:val="0"/>
                <w:sz w:val="22"/>
                <w:szCs w:val="22"/>
                <w:bdr w:val="none" w:color="auto" w:sz="0" w:space="0"/>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6</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市中心幼儿园、市机关幼儿园、龙凤桥幼儿园、清江北港幼儿园（</w:t>
            </w:r>
            <w:r>
              <w:rPr>
                <w:rFonts w:asciiTheme="minorHAnsi" w:hAnsiTheme="minorHAnsi" w:eastAsiaTheme="minorEastAsia" w:cstheme="minorBidi"/>
                <w:color w:val="000000"/>
                <w:kern w:val="0"/>
                <w:sz w:val="22"/>
                <w:szCs w:val="22"/>
                <w:bdr w:val="none" w:color="auto" w:sz="0" w:space="0"/>
                <w:lang w:val="en-US" w:eastAsia="zh-CN" w:bidi="ar"/>
              </w:rPr>
              <w:t>3</w:t>
            </w:r>
            <w:r>
              <w:rPr>
                <w:rFonts w:hint="eastAsia" w:ascii="宋体" w:hAnsi="宋体" w:eastAsia="宋体" w:cs="宋体"/>
                <w:color w:val="000000"/>
                <w:kern w:val="0"/>
                <w:sz w:val="22"/>
                <w:szCs w:val="22"/>
                <w:bdr w:val="none" w:color="auto" w:sz="0" w:space="0"/>
                <w:lang w:val="en-US" w:eastAsia="zh-CN" w:bidi="ar"/>
              </w:rPr>
              <w:t>）</w:t>
            </w:r>
          </w:p>
        </w:tc>
        <w:tc>
          <w:tcPr>
            <w:tcW w:w="1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须全日制学前教育大专及以上毕业并持有幼儿教师资格证书</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832" w:hRule="atLeas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学前教育</w:t>
            </w:r>
            <w:r>
              <w:rPr>
                <w:rFonts w:asciiTheme="minorHAnsi" w:hAnsiTheme="minorHAnsi" w:eastAsiaTheme="minorEastAsia" w:cstheme="minorBidi"/>
                <w:color w:val="000000"/>
                <w:kern w:val="0"/>
                <w:sz w:val="22"/>
                <w:szCs w:val="22"/>
                <w:bdr w:val="none" w:color="auto" w:sz="0" w:space="0"/>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10</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龙西幼儿园（</w:t>
            </w:r>
            <w:r>
              <w:rPr>
                <w:rFonts w:asciiTheme="minorHAnsi" w:hAnsiTheme="minorHAnsi" w:eastAsiaTheme="minorEastAsia" w:cstheme="minorBidi"/>
                <w:color w:val="000000"/>
                <w:kern w:val="0"/>
                <w:sz w:val="22"/>
                <w:szCs w:val="22"/>
                <w:bdr w:val="none" w:color="auto" w:sz="0" w:space="0"/>
                <w:lang w:val="en-US" w:eastAsia="zh-CN" w:bidi="ar"/>
              </w:rPr>
              <w:t>4</w:t>
            </w:r>
            <w:r>
              <w:rPr>
                <w:rFonts w:hint="eastAsia" w:ascii="宋体" w:hAnsi="宋体" w:eastAsia="宋体" w:cs="宋体"/>
                <w:color w:val="000000"/>
                <w:kern w:val="0"/>
                <w:sz w:val="22"/>
                <w:szCs w:val="22"/>
                <w:bdr w:val="none" w:color="auto" w:sz="0" w:space="0"/>
                <w:lang w:val="en-US" w:eastAsia="zh-CN" w:bidi="ar"/>
              </w:rPr>
              <w:t>）、大荆二幼（</w:t>
            </w:r>
            <w:r>
              <w:rPr>
                <w:rFonts w:asciiTheme="minorHAnsi" w:hAnsiTheme="minorHAnsi" w:eastAsiaTheme="minorEastAsia" w:cstheme="minorBidi"/>
                <w:color w:val="000000"/>
                <w:kern w:val="0"/>
                <w:sz w:val="22"/>
                <w:szCs w:val="22"/>
                <w:bdr w:val="none" w:color="auto" w:sz="0" w:space="0"/>
                <w:lang w:val="en-US" w:eastAsia="zh-CN" w:bidi="ar"/>
              </w:rPr>
              <w:t>4</w:t>
            </w:r>
            <w:r>
              <w:rPr>
                <w:rFonts w:hint="eastAsia" w:ascii="宋体" w:hAnsi="宋体" w:eastAsia="宋体" w:cs="宋体"/>
                <w:color w:val="000000"/>
                <w:kern w:val="0"/>
                <w:sz w:val="22"/>
                <w:szCs w:val="22"/>
                <w:bdr w:val="none" w:color="auto" w:sz="0" w:space="0"/>
                <w:lang w:val="en-US" w:eastAsia="zh-CN" w:bidi="ar"/>
              </w:rPr>
              <w:t>）、镇安幼儿园、仙溪一幼</w:t>
            </w:r>
          </w:p>
        </w:tc>
        <w:tc>
          <w:tcPr>
            <w:tcW w:w="174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16"/>
                <w:szCs w:val="16"/>
              </w:rPr>
            </w:pP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exact"/>
        </w:trPr>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合计</w:t>
            </w:r>
          </w:p>
        </w:tc>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color w:val="000000"/>
                <w:kern w:val="0"/>
                <w:sz w:val="22"/>
                <w:szCs w:val="22"/>
                <w:bdr w:val="none" w:color="auto" w:sz="0" w:space="0"/>
                <w:lang w:val="en-US" w:eastAsia="zh-CN" w:bidi="ar"/>
              </w:rPr>
              <w:t>164</w:t>
            </w:r>
          </w:p>
        </w:tc>
        <w:tc>
          <w:tcPr>
            <w:tcW w:w="3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2"/>
                <w:szCs w:val="22"/>
                <w:bdr w:val="none" w:color="auto" w:sz="0" w:space="0"/>
                <w:lang w:val="en-US" w:eastAsia="zh-CN" w:bidi="ar"/>
              </w:rPr>
              <w:t> </w:t>
            </w:r>
          </w:p>
        </w:tc>
        <w:tc>
          <w:tcPr>
            <w:tcW w:w="1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c>
          <w:tcPr>
            <w:tcW w:w="14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kern w:val="0"/>
                <w:sz w:val="24"/>
                <w:szCs w:val="10"/>
                <w:bdr w:val="none" w:color="auto" w:sz="0" w:space="0"/>
                <w:lang w:val="en-US" w:eastAsia="zh-CN" w:bidi="ar"/>
              </w:rPr>
              <w:t> </w:t>
            </w:r>
          </w:p>
        </w:tc>
      </w:tr>
    </w:tbl>
    <w:p>
      <w:pPr>
        <w:pStyle w:val="2"/>
        <w:keepNext w:val="0"/>
        <w:keepLines w:val="0"/>
        <w:widowControl/>
        <w:suppressLineNumbers w:val="0"/>
        <w:spacing w:before="250" w:beforeAutospacing="0" w:after="0" w:afterAutospacing="0"/>
        <w:ind w:left="26" w:right="0"/>
      </w:pPr>
      <w:r>
        <w:rPr>
          <w:rFonts w:hint="default" w:ascii="仿宋_GB2312" w:eastAsia="仿宋_GB2312" w:cs="仿宋_GB2312"/>
          <w:color w:val="444444"/>
          <w:sz w:val="32"/>
          <w:szCs w:val="32"/>
          <w:bdr w:val="none" w:color="auto" w:sz="0" w:space="0"/>
        </w:rPr>
        <w:t> </w:t>
      </w:r>
    </w:p>
    <w:p>
      <w:pPr>
        <w:pStyle w:val="2"/>
        <w:keepNext w:val="0"/>
        <w:keepLines w:val="0"/>
        <w:widowControl/>
        <w:suppressLineNumbers w:val="0"/>
        <w:spacing w:before="250" w:beforeAutospacing="0" w:after="0" w:afterAutospacing="0"/>
        <w:ind w:left="26" w:right="0"/>
      </w:pPr>
      <w:r>
        <w:rPr>
          <w:rFonts w:hint="default" w:ascii="仿宋_GB2312" w:eastAsia="仿宋_GB2312" w:cs="仿宋_GB2312"/>
          <w:color w:val="444444"/>
          <w:sz w:val="32"/>
          <w:szCs w:val="32"/>
          <w:bdr w:val="none" w:color="auto" w:sz="0" w:space="0"/>
        </w:rPr>
        <w:t> </w:t>
      </w:r>
    </w:p>
    <w:p>
      <w:pPr>
        <w:pStyle w:val="2"/>
        <w:keepNext w:val="0"/>
        <w:keepLines w:val="0"/>
        <w:widowControl/>
        <w:suppressLineNumbers w:val="0"/>
        <w:spacing w:before="250" w:beforeAutospacing="0" w:after="0" w:afterAutospacing="0"/>
        <w:ind w:left="26" w:right="0"/>
      </w:pPr>
      <w:r>
        <w:rPr>
          <w:rFonts w:hint="default" w:ascii="仿宋_GB2312" w:hAnsi="Calibri" w:eastAsia="仿宋_GB2312" w:cs="宋体"/>
          <w:color w:val="444444"/>
          <w:kern w:val="0"/>
          <w:sz w:val="24"/>
          <w:szCs w:val="21"/>
          <w:bdr w:val="none" w:color="auto" w:sz="0" w:space="0"/>
        </w:rPr>
        <w:t>备注：职高专业课资格审查参考《</w:t>
      </w:r>
      <w:r>
        <w:rPr>
          <w:rFonts w:hint="default" w:ascii="仿宋_GB2312" w:hAnsi="宋体" w:eastAsia="仿宋_GB2312" w:cs="宋体"/>
          <w:bCs/>
          <w:color w:val="444444"/>
          <w:kern w:val="0"/>
          <w:sz w:val="24"/>
          <w:szCs w:val="21"/>
          <w:bdr w:val="none" w:color="auto" w:sz="0" w:space="0"/>
          <w:lang w:val="en-US"/>
        </w:rPr>
        <w:t>2016</w:t>
      </w:r>
      <w:r>
        <w:rPr>
          <w:rFonts w:hint="default" w:ascii="仿宋_GB2312" w:hAnsi="宋体" w:eastAsia="仿宋_GB2312" w:cs="宋体"/>
          <w:bCs/>
          <w:color w:val="444444"/>
          <w:kern w:val="0"/>
          <w:sz w:val="24"/>
          <w:szCs w:val="21"/>
          <w:bdr w:val="none" w:color="auto" w:sz="0" w:space="0"/>
        </w:rPr>
        <w:t>年温州市各级机关考试录用公务员</w:t>
      </w:r>
      <w:r>
        <w:rPr>
          <w:rFonts w:hint="default" w:ascii="仿宋_GB2312" w:hAnsi="Calibri" w:eastAsia="仿宋_GB2312" w:cs="宋体"/>
          <w:color w:val="444444"/>
          <w:kern w:val="0"/>
          <w:sz w:val="24"/>
          <w:szCs w:val="21"/>
          <w:bdr w:val="none" w:color="auto" w:sz="0" w:space="0"/>
        </w:rPr>
        <w:t>专业资格审查办法》：</w:t>
      </w:r>
    </w:p>
    <w:p>
      <w:pPr>
        <w:keepNext w:val="0"/>
        <w:keepLines w:val="0"/>
        <w:widowControl/>
        <w:suppressLineNumbers w:val="0"/>
        <w:spacing w:before="0" w:beforeAutospacing="0" w:after="0" w:afterAutospacing="0" w:line="400" w:lineRule="exact"/>
        <w:ind w:left="26" w:right="0" w:firstLine="480" w:firstLineChars="200"/>
        <w:jc w:val="left"/>
      </w:pPr>
      <w:r>
        <w:rPr>
          <w:rFonts w:hint="default" w:ascii="仿宋_GB2312" w:eastAsia="仿宋_GB2312" w:cs="仿宋_GB2312" w:hAnsiTheme="minorHAnsi"/>
          <w:color w:val="000000"/>
          <w:kern w:val="0"/>
          <w:sz w:val="24"/>
          <w:szCs w:val="21"/>
          <w:lang w:val="en-US" w:eastAsia="zh-CN" w:bidi="ar"/>
        </w:rPr>
        <w:t>电气工程与自动化，</w:t>
      </w:r>
      <w:r>
        <w:rPr>
          <w:rFonts w:hint="default" w:ascii="仿宋_GB2312" w:hAnsi="Calibri" w:eastAsia="仿宋_GB2312" w:cs="宋体"/>
          <w:color w:val="444444"/>
          <w:kern w:val="0"/>
          <w:sz w:val="24"/>
          <w:szCs w:val="21"/>
          <w:lang w:val="en-US" w:eastAsia="zh-CN" w:bidi="ar"/>
        </w:rPr>
        <w:t>具体为“电子科学与技术类”招考专业（职位）：</w:t>
      </w:r>
      <w:r>
        <w:rPr>
          <w:rFonts w:hint="default" w:ascii="仿宋_GB2312" w:hAnsi="宋体" w:eastAsia="仿宋_GB2312" w:cs="仿宋_GB2312"/>
          <w:bCs/>
          <w:color w:val="444444"/>
          <w:kern w:val="0"/>
          <w:sz w:val="24"/>
          <w:szCs w:val="21"/>
          <w:lang w:val="en-US" w:eastAsia="zh-CN" w:bidi="ar"/>
        </w:rPr>
        <w:t>电力系统及其自动化、电机与电器、微电子学与固体电子学、高电压与绝缘技术、电力电子与电力传动、物理电子学、电工理论与新技术、电路与系统、电磁场与微波技术、电子电工、电气技术、电机电气及其控制、光源与照明、电子技术、电子科学与技术、电气工程及自动化、自动化（电气方向）、电子信息工程、电子与通讯工程等。</w:t>
      </w:r>
      <w:r>
        <w:rPr>
          <w:rFonts w:hint="default" w:ascii="仿宋_GB2312" w:hAnsi="Calibri" w:eastAsia="仿宋_GB2312" w:cs="宋体"/>
          <w:color w:val="444444"/>
          <w:kern w:val="0"/>
          <w:sz w:val="24"/>
          <w:szCs w:val="21"/>
          <w:lang w:val="en-US" w:eastAsia="zh-CN" w:bidi="ar"/>
        </w:rPr>
        <w:t xml:space="preserve"> </w:t>
      </w:r>
    </w:p>
    <w:p>
      <w:pPr>
        <w:keepNext w:val="0"/>
        <w:keepLines w:val="0"/>
        <w:widowControl/>
        <w:suppressLineNumbers w:val="0"/>
        <w:spacing w:before="0" w:beforeAutospacing="0" w:after="0" w:afterAutospacing="0" w:line="400" w:lineRule="exact"/>
        <w:ind w:left="26" w:right="0" w:firstLine="480" w:firstLineChars="200"/>
        <w:jc w:val="left"/>
      </w:pPr>
      <w:r>
        <w:rPr>
          <w:rFonts w:hint="default" w:ascii="仿宋_GB2312" w:hAnsi="Calibri" w:eastAsia="仿宋_GB2312" w:cs="宋体"/>
          <w:color w:val="444444"/>
          <w:kern w:val="0"/>
          <w:sz w:val="24"/>
          <w:szCs w:val="24"/>
          <w:lang w:val="en-US" w:eastAsia="zh-CN" w:bidi="ar"/>
        </w:rPr>
        <w:t>财务会计，具体为“财会类”招考专业（职位）：</w:t>
      </w:r>
      <w:r>
        <w:rPr>
          <w:rFonts w:hint="default" w:ascii="仿宋_GB2312" w:hAnsi="Calibri" w:eastAsia="仿宋_GB2312" w:cs="宋体"/>
          <w:bCs/>
          <w:color w:val="444444"/>
          <w:kern w:val="0"/>
          <w:sz w:val="24"/>
          <w:szCs w:val="24"/>
          <w:lang w:val="en-US" w:eastAsia="zh-CN" w:bidi="ar"/>
        </w:rPr>
        <w:t>会计学、财务管理、理财学、企业理财、审计学、会计电算化、财务会计教育、财务会计与教育、国际会计、会计与统计核算、工业（企业）会计、财务信息管理、会计、财务会计、管理会计、投资与理财、涉外财务、</w:t>
      </w:r>
      <w:r>
        <w:rPr>
          <w:rFonts w:hint="default" w:ascii="仿宋_GB2312" w:hAnsi="Calibri" w:eastAsia="仿宋_GB2312" w:cs="宋体"/>
          <w:color w:val="444444"/>
          <w:kern w:val="0"/>
          <w:sz w:val="24"/>
          <w:szCs w:val="24"/>
          <w:lang w:val="en-US" w:eastAsia="zh-CN" w:bidi="ar"/>
        </w:rPr>
        <w:t>审计、财务会计与审计、工商管理（会计学）、网络会计、会计学（国际会计方向）、会计学（注册会计师方向）、财务管理（会计方向）、会计财务管理、工商管理（财务管理）、涉外会计、会计（涉外）、会计（涉外会计）、会计与审计、司法会计、</w:t>
      </w:r>
      <w:r>
        <w:rPr>
          <w:rFonts w:hint="default" w:ascii="仿宋_GB2312" w:hAnsi="Calibri" w:eastAsia="仿宋_GB2312" w:cs="宋体"/>
          <w:bCs/>
          <w:color w:val="444444"/>
          <w:kern w:val="0"/>
          <w:sz w:val="24"/>
          <w:szCs w:val="24"/>
          <w:lang w:val="en-US" w:eastAsia="zh-CN" w:bidi="ar"/>
        </w:rPr>
        <w:t>会计学（财务会计）、资产评估与会计、财会、财会学、会计学（财务管理）、财务学、工商管理（审计学）、会计（注册会计师方向）、会计信息技术、财务管理学、工商管理会计方向、审计实务、会计学（CGA）、会计学（国际会计）、会计学（财务会计方向）、会计学（会计师方向）、会计学（中外）、会计与审计、财务会计（电算化）、财务会计（涉外方向）、审计实务（注册会计师方向）、会计专业、会计（税务方向）、会计学（财会方向）、会计学（CGA方向）、财务管理（资产评估方向）、财务管理专业、会计与金融专业、</w:t>
      </w:r>
      <w:r>
        <w:rPr>
          <w:rFonts w:hint="default" w:ascii="仿宋_GB2312" w:hAnsi="Calibri" w:eastAsia="仿宋_GB2312" w:cs="宋体"/>
          <w:color w:val="444444"/>
          <w:kern w:val="0"/>
          <w:sz w:val="24"/>
          <w:szCs w:val="24"/>
          <w:lang w:val="en-US" w:eastAsia="zh-CN" w:bidi="ar"/>
        </w:rPr>
        <w:t>会计（中美合作）、会计学（ACCA）、会计学（注册会计专门化）、财务管理（国际金融）、财务管理（企业理财方向）、商务（金融与会计）、会计学（国际会计师ACCA）、企业财务管理、会计金融、理学会计、财务、 管理学会计、会计与统计、会计学（国际方向）、注册会计、会计学（金融会计）、会计（税务）、国际会计与财务管理、会计学（中美合作办学）、企业财务管理、会计学（注册会计师专门化）、注册会计师与审计、会计学（涉外会计方向）、投资理财</w:t>
      </w:r>
      <w:r>
        <w:rPr>
          <w:rFonts w:hint="default" w:ascii="仿宋_GB2312" w:hAnsi="Calibri" w:eastAsia="仿宋_GB2312" w:cs="宋体"/>
          <w:bCs/>
          <w:color w:val="444444"/>
          <w:kern w:val="0"/>
          <w:sz w:val="24"/>
          <w:szCs w:val="24"/>
          <w:lang w:val="en-US" w:eastAsia="zh-CN" w:bidi="ar"/>
        </w:rPr>
        <w:t>等，取得注册会计师资格的人员可报考。</w:t>
      </w:r>
    </w:p>
    <w:p>
      <w:pPr>
        <w:keepNext w:val="0"/>
        <w:keepLines w:val="0"/>
        <w:widowControl/>
        <w:suppressLineNumbers w:val="0"/>
        <w:spacing w:before="0" w:beforeAutospacing="0" w:after="0" w:afterAutospacing="0" w:line="400" w:lineRule="exact"/>
        <w:ind w:left="26" w:right="0" w:firstLine="480" w:firstLineChars="200"/>
        <w:jc w:val="left"/>
      </w:pPr>
      <w:r>
        <w:rPr>
          <w:rFonts w:hint="default" w:ascii="仿宋_GB2312" w:hAnsi="Calibri" w:eastAsia="仿宋_GB2312" w:cs="宋体"/>
          <w:color w:val="444444"/>
          <w:kern w:val="0"/>
          <w:sz w:val="24"/>
          <w:szCs w:val="21"/>
          <w:lang w:val="en-US" w:eastAsia="zh-CN" w:bidi="ar"/>
        </w:rPr>
        <w:t>国际贸易，具体为</w:t>
      </w:r>
      <w:r>
        <w:rPr>
          <w:rFonts w:hint="default" w:ascii="仿宋_GB2312" w:hAnsi="宋体" w:eastAsia="仿宋_GB2312" w:cs="仿宋_GB2312"/>
          <w:color w:val="444444"/>
          <w:kern w:val="0"/>
          <w:sz w:val="24"/>
          <w:szCs w:val="21"/>
          <w:lang w:val="en-US" w:eastAsia="zh-CN" w:bidi="ar"/>
        </w:rPr>
        <w:t>“经济管理”招考专业（职位）中的“</w:t>
      </w:r>
      <w:r>
        <w:rPr>
          <w:rFonts w:hint="default" w:ascii="仿宋_GB2312" w:hAnsi="宋体" w:eastAsia="仿宋_GB2312" w:cs="仿宋_GB2312"/>
          <w:bCs/>
          <w:color w:val="000000"/>
          <w:kern w:val="0"/>
          <w:sz w:val="24"/>
          <w:szCs w:val="21"/>
          <w:lang w:val="en-US" w:eastAsia="zh-CN" w:bidi="ar"/>
        </w:rPr>
        <w:t>经济与贸易类”</w:t>
      </w:r>
      <w:r>
        <w:rPr>
          <w:rFonts w:hint="default" w:ascii="仿宋_GB2312" w:hAnsi="Calibri" w:eastAsia="仿宋_GB2312" w:cs="宋体"/>
          <w:color w:val="444444"/>
          <w:kern w:val="0"/>
          <w:sz w:val="24"/>
          <w:szCs w:val="21"/>
          <w:lang w:val="en-US" w:eastAsia="zh-CN" w:bidi="ar"/>
        </w:rPr>
        <w:t>：</w:t>
      </w:r>
      <w:r>
        <w:rPr>
          <w:rFonts w:hint="default" w:ascii="仿宋_GB2312" w:hAnsi="宋体" w:eastAsia="仿宋_GB2312" w:cs="仿宋_GB2312"/>
          <w:color w:val="444444"/>
          <w:kern w:val="0"/>
          <w:sz w:val="24"/>
          <w:szCs w:val="21"/>
          <w:lang w:val="en-US" w:eastAsia="zh-CN" w:bidi="ar"/>
        </w:rPr>
        <w:t>国际经济与贸易、贸易经济、国际贸易学、国际经济、国际贸易、国际商务、国际商务（双语实验班）、国际商务学、国际商务管理、国际商业、工业外贸、经济贸易、国际贸易与经济、国际贸易与实务、国际经济与贸易（金融学）、国际商务（通关方向）、国际商务经济学、国际经济与贸易（市场营销方向）等。</w:t>
      </w:r>
    </w:p>
    <w:p>
      <w:pPr>
        <w:keepNext w:val="0"/>
        <w:keepLines w:val="0"/>
        <w:widowControl/>
        <w:suppressLineNumbers w:val="0"/>
        <w:spacing w:before="0" w:beforeAutospacing="0" w:after="0" w:afterAutospacing="0" w:line="400" w:lineRule="exact"/>
        <w:ind w:left="26" w:right="0" w:firstLine="480" w:firstLineChars="200"/>
        <w:jc w:val="left"/>
      </w:pPr>
      <w:r>
        <w:rPr>
          <w:rFonts w:hint="default" w:ascii="仿宋_GB2312" w:hAnsi="Calibri" w:eastAsia="仿宋_GB2312" w:cs="宋体"/>
          <w:color w:val="444444"/>
          <w:kern w:val="0"/>
          <w:sz w:val="24"/>
          <w:szCs w:val="24"/>
          <w:lang w:val="en-US" w:eastAsia="zh-CN" w:bidi="ar"/>
        </w:rPr>
        <w:t>市场营销，具体为市场营销专业等。</w:t>
      </w:r>
    </w:p>
    <w:p>
      <w:pPr>
        <w:keepNext w:val="0"/>
        <w:keepLines w:val="0"/>
        <w:widowControl/>
        <w:suppressLineNumbers w:val="0"/>
        <w:spacing w:before="250" w:beforeAutospacing="0" w:after="0" w:afterAutospacing="0"/>
        <w:ind w:left="26" w:right="0"/>
        <w:jc w:val="left"/>
      </w:pPr>
      <w:r>
        <w:rPr>
          <w:rFonts w:hint="default" w:ascii="仿宋_GB2312" w:hAnsi="宋体" w:eastAsia="仿宋_GB2312" w:cs="仿宋_GB2312"/>
          <w:color w:val="444444"/>
          <w:kern w:val="0"/>
          <w:sz w:val="32"/>
          <w:szCs w:val="32"/>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80977"/>
    <w:rsid w:val="0ED80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44444"/>
      <w:u w:val="single"/>
    </w:rPr>
  </w:style>
  <w:style w:type="character" w:styleId="5">
    <w:name w:val="Emphasis"/>
    <w:basedOn w:val="3"/>
    <w:qFormat/>
    <w:uiPriority w:val="0"/>
  </w:style>
  <w:style w:type="character" w:styleId="6">
    <w:name w:val="Hyperlink"/>
    <w:basedOn w:val="3"/>
    <w:uiPriority w:val="0"/>
    <w:rPr>
      <w:color w:val="44444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2017-06-28T12:28:00Z</dcterms:created>
  <dc:creator>ASUS</dc:creator>
  <cp:lastModifiedBy>ASUS</cp:lastModifiedBy>
  <dcterms:modified xsi:type="dcterms:W3CDTF">2017-06-28T12:28:52Z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