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仿宋_GB2312" w:eastAsia="仿宋_GB2312" w:cs="仿宋_GB2312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仿宋_GB2312" w:eastAsia="仿宋_GB2312" w:cs="仿宋_GB2312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桐梓县2016年公开招聘教师（第三批）拟聘用人员名单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default" w:ascii="仿宋_GB2312" w:eastAsia="仿宋_GB2312" w:cs="仿宋_GB2312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序号 姓 名 拟聘用单位 职位代码 体检结果 政审结果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  1  丁佳佳 乡镇幼儿园    JS99     合格     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default" w:ascii="仿宋_GB2312" w:eastAsia="仿宋_GB2312" w:cs="仿宋_GB2312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3D3D3D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              桐梓县人力资源和社会保障局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2016-11-07T09:12:05Z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